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B15B" w14:textId="77777777" w:rsidR="001F38C3" w:rsidRDefault="007F4AB6">
      <w:pPr>
        <w:pStyle w:val="Textkrper"/>
        <w:ind w:left="96"/>
        <w:rPr>
          <w:rFonts w:ascii="Times New Roman"/>
        </w:rPr>
      </w:pPr>
      <w:r>
        <w:rPr>
          <w:rFonts w:ascii="Times New Roman"/>
        </w:rPr>
      </w:r>
      <w:r>
        <w:rPr>
          <w:rFonts w:ascii="Times New Roman"/>
        </w:rPr>
        <w:pict w14:anchorId="061E19E7">
          <v:group id="_x0000_s1026" style="width:488.2pt;height:84pt;mso-position-horizontal-relative:char;mso-position-vertical-relative:line" coordsize="9764,1680">
            <v:shapetype id="_x0000_t202" coordsize="21600,21600" o:spt="202" path="m,l,21600r21600,l21600,xe">
              <v:stroke joinstyle="miter"/>
              <v:path gradientshapeok="t" o:connecttype="rect"/>
            </v:shapetype>
            <v:shape id="_x0000_s1028" type="#_x0000_t202" style="position:absolute;left:2901;top:21;width:6840;height:1637" filled="f" strokeweight="2.16pt">
              <v:textbox style="mso-next-textbox:#_x0000_s1028" inset="0,0,0,0">
                <w:txbxContent>
                  <w:p w14:paraId="41C17F44" w14:textId="77777777" w:rsidR="001F38C3" w:rsidRDefault="001F38C3">
                    <w:pPr>
                      <w:spacing w:before="5"/>
                      <w:rPr>
                        <w:rFonts w:ascii="Times New Roman"/>
                        <w:sz w:val="33"/>
                      </w:rPr>
                    </w:pPr>
                  </w:p>
                  <w:p w14:paraId="373C2035" w14:textId="77777777" w:rsidR="001F38C3" w:rsidRDefault="007F4AB6">
                    <w:pPr>
                      <w:spacing w:line="360" w:lineRule="auto"/>
                      <w:ind w:left="2944" w:right="59" w:hanging="2871"/>
                      <w:rPr>
                        <w:sz w:val="24"/>
                      </w:rPr>
                    </w:pPr>
                    <w:r>
                      <w:rPr>
                        <w:sz w:val="24"/>
                      </w:rPr>
                      <w:t>SAA 02 – Vorbereiten der Endoskope vor dem Einlegen in das RDG - E</w:t>
                    </w:r>
                  </w:p>
                </w:txbxContent>
              </v:textbox>
            </v:shape>
            <v:shape id="_x0000_s1027" type="#_x0000_t202" style="position:absolute;left:21;top:21;width:2880;height:1637" filled="f" strokeweight="2.16pt">
              <v:textbox style="mso-next-textbox:#_x0000_s1027" inset="0,0,0,0">
                <w:txbxContent>
                  <w:p w14:paraId="26734D79" w14:textId="77777777" w:rsidR="001F38C3" w:rsidRDefault="001F38C3">
                    <w:pPr>
                      <w:rPr>
                        <w:rFonts w:ascii="Times New Roman"/>
                        <w:sz w:val="24"/>
                      </w:rPr>
                    </w:pPr>
                  </w:p>
                  <w:p w14:paraId="306FF339" w14:textId="77777777" w:rsidR="001F38C3" w:rsidRDefault="001F38C3">
                    <w:pPr>
                      <w:rPr>
                        <w:rFonts w:ascii="Times New Roman"/>
                        <w:sz w:val="29"/>
                      </w:rPr>
                    </w:pPr>
                  </w:p>
                  <w:p w14:paraId="51D2AA7F" w14:textId="162D3CB3" w:rsidR="001F38C3" w:rsidRDefault="007F4AB6">
                    <w:pPr>
                      <w:ind w:left="47"/>
                      <w:rPr>
                        <w:b/>
                      </w:rPr>
                    </w:pPr>
                    <w:r>
                      <w:rPr>
                        <w:b/>
                      </w:rPr>
                      <w:t>Ordination Dr. NN</w:t>
                    </w:r>
                  </w:p>
                </w:txbxContent>
              </v:textbox>
            </v:shape>
            <w10:anchorlock/>
          </v:group>
        </w:pict>
      </w:r>
    </w:p>
    <w:p w14:paraId="72D7BA76" w14:textId="77777777" w:rsidR="001F38C3" w:rsidRDefault="001F38C3">
      <w:pPr>
        <w:pStyle w:val="Textkrper"/>
        <w:spacing w:before="8"/>
        <w:rPr>
          <w:rFonts w:ascii="Times New Roman"/>
          <w:sz w:val="22"/>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2"/>
        <w:gridCol w:w="3240"/>
        <w:gridCol w:w="1416"/>
        <w:gridCol w:w="3403"/>
      </w:tblGrid>
      <w:tr w:rsidR="001F38C3" w14:paraId="0570F036" w14:textId="77777777">
        <w:trPr>
          <w:trHeight w:val="371"/>
        </w:trPr>
        <w:tc>
          <w:tcPr>
            <w:tcW w:w="1582" w:type="dxa"/>
          </w:tcPr>
          <w:p w14:paraId="591928DE" w14:textId="77777777" w:rsidR="001F38C3" w:rsidRDefault="007F4AB6">
            <w:pPr>
              <w:pStyle w:val="TableParagraph"/>
              <w:spacing w:before="94"/>
              <w:rPr>
                <w:sz w:val="16"/>
              </w:rPr>
            </w:pPr>
            <w:r>
              <w:rPr>
                <w:sz w:val="16"/>
              </w:rPr>
              <w:t>Erstellt:</w:t>
            </w:r>
          </w:p>
        </w:tc>
        <w:tc>
          <w:tcPr>
            <w:tcW w:w="3240" w:type="dxa"/>
          </w:tcPr>
          <w:p w14:paraId="3541AAFC" w14:textId="25A3A605" w:rsidR="001F38C3" w:rsidRDefault="007F4AB6">
            <w:pPr>
              <w:pStyle w:val="TableParagraph"/>
              <w:spacing w:before="94"/>
              <w:rPr>
                <w:sz w:val="16"/>
              </w:rPr>
            </w:pPr>
            <w:r>
              <w:rPr>
                <w:sz w:val="16"/>
              </w:rPr>
              <w:t>NN</w:t>
            </w:r>
          </w:p>
        </w:tc>
        <w:tc>
          <w:tcPr>
            <w:tcW w:w="1416" w:type="dxa"/>
          </w:tcPr>
          <w:p w14:paraId="33495353" w14:textId="77777777" w:rsidR="001F38C3" w:rsidRDefault="007F4AB6">
            <w:pPr>
              <w:pStyle w:val="TableParagraph"/>
              <w:spacing w:before="94"/>
              <w:rPr>
                <w:sz w:val="16"/>
              </w:rPr>
            </w:pPr>
            <w:r>
              <w:rPr>
                <w:sz w:val="16"/>
              </w:rPr>
              <w:t>Unterschrift:</w:t>
            </w:r>
          </w:p>
        </w:tc>
        <w:tc>
          <w:tcPr>
            <w:tcW w:w="3403" w:type="dxa"/>
          </w:tcPr>
          <w:p w14:paraId="1F0E5F76" w14:textId="77777777" w:rsidR="001F38C3" w:rsidRDefault="001F38C3">
            <w:pPr>
              <w:pStyle w:val="TableParagraph"/>
              <w:ind w:left="0"/>
              <w:rPr>
                <w:rFonts w:ascii="Times New Roman"/>
                <w:sz w:val="18"/>
              </w:rPr>
            </w:pPr>
          </w:p>
        </w:tc>
      </w:tr>
      <w:tr w:rsidR="001F38C3" w14:paraId="0B08CCE9" w14:textId="77777777">
        <w:trPr>
          <w:trHeight w:val="335"/>
        </w:trPr>
        <w:tc>
          <w:tcPr>
            <w:tcW w:w="1582" w:type="dxa"/>
          </w:tcPr>
          <w:p w14:paraId="58BBFFE3" w14:textId="77777777" w:rsidR="001F38C3" w:rsidRDefault="007F4AB6">
            <w:pPr>
              <w:pStyle w:val="TableParagraph"/>
              <w:spacing w:before="75"/>
              <w:rPr>
                <w:sz w:val="16"/>
              </w:rPr>
            </w:pPr>
            <w:r>
              <w:rPr>
                <w:sz w:val="16"/>
              </w:rPr>
              <w:t>Freigegeben:</w:t>
            </w:r>
          </w:p>
        </w:tc>
        <w:tc>
          <w:tcPr>
            <w:tcW w:w="3240" w:type="dxa"/>
          </w:tcPr>
          <w:p w14:paraId="3F54911D" w14:textId="2939B9DF" w:rsidR="001F38C3" w:rsidRDefault="007F4AB6">
            <w:pPr>
              <w:pStyle w:val="TableParagraph"/>
              <w:spacing w:before="75"/>
              <w:rPr>
                <w:sz w:val="16"/>
              </w:rPr>
            </w:pPr>
            <w:r>
              <w:rPr>
                <w:sz w:val="16"/>
              </w:rPr>
              <w:t>Dr. NN</w:t>
            </w:r>
          </w:p>
        </w:tc>
        <w:tc>
          <w:tcPr>
            <w:tcW w:w="1416" w:type="dxa"/>
          </w:tcPr>
          <w:p w14:paraId="2A4FE3B9" w14:textId="77777777" w:rsidR="001F38C3" w:rsidRDefault="007F4AB6">
            <w:pPr>
              <w:pStyle w:val="TableParagraph"/>
              <w:spacing w:before="75"/>
              <w:rPr>
                <w:sz w:val="16"/>
              </w:rPr>
            </w:pPr>
            <w:r>
              <w:rPr>
                <w:sz w:val="16"/>
              </w:rPr>
              <w:t>Unterschrift:</w:t>
            </w:r>
          </w:p>
        </w:tc>
        <w:tc>
          <w:tcPr>
            <w:tcW w:w="3403" w:type="dxa"/>
          </w:tcPr>
          <w:p w14:paraId="55DFF00C" w14:textId="77777777" w:rsidR="001F38C3" w:rsidRDefault="001F38C3">
            <w:pPr>
              <w:pStyle w:val="TableParagraph"/>
              <w:ind w:left="0"/>
              <w:rPr>
                <w:rFonts w:ascii="Times New Roman"/>
                <w:sz w:val="18"/>
              </w:rPr>
            </w:pPr>
          </w:p>
        </w:tc>
      </w:tr>
      <w:tr w:rsidR="001F38C3" w14:paraId="78429794" w14:textId="77777777">
        <w:trPr>
          <w:trHeight w:val="340"/>
        </w:trPr>
        <w:tc>
          <w:tcPr>
            <w:tcW w:w="1582" w:type="dxa"/>
          </w:tcPr>
          <w:p w14:paraId="6BA9C43C" w14:textId="77777777" w:rsidR="001F38C3" w:rsidRDefault="007F4AB6">
            <w:pPr>
              <w:pStyle w:val="TableParagraph"/>
              <w:spacing w:before="78"/>
              <w:rPr>
                <w:sz w:val="16"/>
              </w:rPr>
            </w:pPr>
            <w:r>
              <w:rPr>
                <w:sz w:val="16"/>
              </w:rPr>
              <w:t>Gültig ab:</w:t>
            </w:r>
          </w:p>
        </w:tc>
        <w:tc>
          <w:tcPr>
            <w:tcW w:w="3240" w:type="dxa"/>
          </w:tcPr>
          <w:p w14:paraId="6ADA1779" w14:textId="77777777" w:rsidR="001F38C3" w:rsidRDefault="007F4AB6">
            <w:pPr>
              <w:pStyle w:val="TableParagraph"/>
              <w:spacing w:before="78"/>
              <w:rPr>
                <w:sz w:val="16"/>
              </w:rPr>
            </w:pPr>
            <w:r>
              <w:rPr>
                <w:sz w:val="16"/>
              </w:rPr>
              <w:t>August 2019</w:t>
            </w:r>
          </w:p>
        </w:tc>
        <w:tc>
          <w:tcPr>
            <w:tcW w:w="1416" w:type="dxa"/>
          </w:tcPr>
          <w:p w14:paraId="4BC36987" w14:textId="77777777" w:rsidR="001F38C3" w:rsidRDefault="001F38C3">
            <w:pPr>
              <w:pStyle w:val="TableParagraph"/>
              <w:ind w:left="0"/>
              <w:rPr>
                <w:rFonts w:ascii="Times New Roman"/>
                <w:sz w:val="18"/>
              </w:rPr>
            </w:pPr>
          </w:p>
        </w:tc>
        <w:tc>
          <w:tcPr>
            <w:tcW w:w="3403" w:type="dxa"/>
          </w:tcPr>
          <w:p w14:paraId="22B44187" w14:textId="77777777" w:rsidR="001F38C3" w:rsidRDefault="001F38C3">
            <w:pPr>
              <w:pStyle w:val="TableParagraph"/>
              <w:ind w:left="0"/>
              <w:rPr>
                <w:rFonts w:ascii="Times New Roman"/>
                <w:sz w:val="18"/>
              </w:rPr>
            </w:pPr>
          </w:p>
        </w:tc>
      </w:tr>
    </w:tbl>
    <w:p w14:paraId="2DBE0A2B" w14:textId="77777777" w:rsidR="001F38C3" w:rsidRDefault="001F38C3">
      <w:pPr>
        <w:pStyle w:val="Textkrper"/>
        <w:spacing w:before="2"/>
        <w:rPr>
          <w:rFonts w:ascii="Times New Roman"/>
          <w:sz w:val="24"/>
        </w:rPr>
      </w:pPr>
    </w:p>
    <w:p w14:paraId="6E98E1C5" w14:textId="77777777" w:rsidR="001F38C3" w:rsidRDefault="007F4AB6">
      <w:pPr>
        <w:pStyle w:val="berschrift1"/>
        <w:numPr>
          <w:ilvl w:val="0"/>
          <w:numId w:val="1"/>
        </w:numPr>
        <w:tabs>
          <w:tab w:val="left" w:pos="730"/>
          <w:tab w:val="left" w:pos="731"/>
        </w:tabs>
        <w:spacing w:before="94"/>
        <w:ind w:hanging="433"/>
      </w:pPr>
      <w:r>
        <w:t>Zweck</w:t>
      </w:r>
    </w:p>
    <w:p w14:paraId="7A1A2DB6" w14:textId="77777777" w:rsidR="001F38C3" w:rsidRDefault="001F38C3">
      <w:pPr>
        <w:pStyle w:val="Textkrper"/>
        <w:spacing w:before="4"/>
        <w:rPr>
          <w:b/>
          <w:sz w:val="21"/>
        </w:rPr>
      </w:pPr>
    </w:p>
    <w:p w14:paraId="595895BA" w14:textId="77777777" w:rsidR="001F38C3" w:rsidRDefault="007F4AB6">
      <w:pPr>
        <w:pStyle w:val="Textkrper"/>
        <w:spacing w:line="360" w:lineRule="auto"/>
        <w:ind w:left="298" w:right="550"/>
      </w:pPr>
      <w:r>
        <w:t>Diese Standard – Arbeitsanweisung (SAA) regelt die Vorbereitung der Endoskope vor dem Einlegen in das RDG – E in Anlehnung an Bundesgesundheitsblatt 2012; 55:1244-1310, Robert Koch Institut – Anforderungen an die Hygiene bei der Aufbereitung von Medizinpro</w:t>
      </w:r>
      <w:r>
        <w:t>dukten – Anlage 8 S.1286 ff.</w:t>
      </w:r>
    </w:p>
    <w:p w14:paraId="3674EF17" w14:textId="77777777" w:rsidR="001F38C3" w:rsidRDefault="001F38C3">
      <w:pPr>
        <w:pStyle w:val="Textkrper"/>
        <w:spacing w:before="6"/>
        <w:rPr>
          <w:sz w:val="31"/>
        </w:rPr>
      </w:pPr>
    </w:p>
    <w:p w14:paraId="3F051C1F" w14:textId="77777777" w:rsidR="001F38C3" w:rsidRDefault="007F4AB6">
      <w:pPr>
        <w:pStyle w:val="berschrift1"/>
        <w:numPr>
          <w:ilvl w:val="0"/>
          <w:numId w:val="1"/>
        </w:numPr>
        <w:tabs>
          <w:tab w:val="left" w:pos="730"/>
          <w:tab w:val="left" w:pos="731"/>
        </w:tabs>
        <w:ind w:hanging="433"/>
      </w:pPr>
      <w:r>
        <w:t>Verantwortlichkeiten</w:t>
      </w:r>
    </w:p>
    <w:p w14:paraId="4214B823" w14:textId="77777777" w:rsidR="001F38C3" w:rsidRDefault="001F38C3">
      <w:pPr>
        <w:pStyle w:val="Textkrper"/>
        <w:spacing w:before="4"/>
        <w:rPr>
          <w:b/>
          <w:sz w:val="21"/>
        </w:rPr>
      </w:pPr>
    </w:p>
    <w:p w14:paraId="2FE8FF9E" w14:textId="77777777" w:rsidR="001F38C3" w:rsidRDefault="007F4AB6">
      <w:pPr>
        <w:pStyle w:val="Textkrper"/>
        <w:ind w:left="298"/>
      </w:pPr>
      <w:r>
        <w:t>Mitarbeiter/innen in der Aufbereitung, die die erforderliche Ausbildung, Kenntnis und Erfahrung haben</w:t>
      </w:r>
    </w:p>
    <w:p w14:paraId="18A30F44" w14:textId="77777777" w:rsidR="001F38C3" w:rsidRDefault="001F38C3">
      <w:pPr>
        <w:pStyle w:val="Textkrper"/>
        <w:rPr>
          <w:sz w:val="22"/>
        </w:rPr>
      </w:pPr>
    </w:p>
    <w:p w14:paraId="428D6664" w14:textId="77777777" w:rsidR="001F38C3" w:rsidRDefault="001F38C3">
      <w:pPr>
        <w:pStyle w:val="Textkrper"/>
        <w:spacing w:before="7"/>
        <w:rPr>
          <w:sz w:val="29"/>
        </w:rPr>
      </w:pPr>
    </w:p>
    <w:p w14:paraId="459DD721" w14:textId="77777777" w:rsidR="001F38C3" w:rsidRDefault="007F4AB6">
      <w:pPr>
        <w:pStyle w:val="berschrift1"/>
        <w:numPr>
          <w:ilvl w:val="0"/>
          <w:numId w:val="1"/>
        </w:numPr>
        <w:tabs>
          <w:tab w:val="left" w:pos="730"/>
          <w:tab w:val="left" w:pos="731"/>
        </w:tabs>
        <w:ind w:hanging="433"/>
      </w:pPr>
      <w:r>
        <w:t>Verwendetes</w:t>
      </w:r>
      <w:r>
        <w:rPr>
          <w:spacing w:val="-5"/>
        </w:rPr>
        <w:t xml:space="preserve"> </w:t>
      </w:r>
      <w:r>
        <w:t>Material</w:t>
      </w:r>
    </w:p>
    <w:p w14:paraId="5352EDCB" w14:textId="77777777" w:rsidR="001F38C3" w:rsidRDefault="001F38C3">
      <w:pPr>
        <w:pStyle w:val="Textkrper"/>
        <w:spacing w:before="7"/>
        <w:rPr>
          <w:b/>
          <w:sz w:val="21"/>
        </w:rPr>
      </w:pPr>
    </w:p>
    <w:p w14:paraId="2F7978A9" w14:textId="77777777" w:rsidR="001F38C3" w:rsidRDefault="007F4AB6">
      <w:pPr>
        <w:pStyle w:val="Textkrper"/>
        <w:spacing w:line="360" w:lineRule="auto"/>
        <w:ind w:left="298" w:right="6509"/>
      </w:pPr>
      <w:r>
        <w:t>Spüllösung mit Enzymreiniger Desinfektionsmittel Perfektan Endo Einmaltücher</w:t>
      </w:r>
    </w:p>
    <w:p w14:paraId="6216C528" w14:textId="77777777" w:rsidR="001F38C3" w:rsidRDefault="001F38C3">
      <w:pPr>
        <w:pStyle w:val="Textkrper"/>
        <w:spacing w:before="3"/>
        <w:rPr>
          <w:sz w:val="31"/>
        </w:rPr>
      </w:pPr>
    </w:p>
    <w:p w14:paraId="1E96809A" w14:textId="77777777" w:rsidR="001F38C3" w:rsidRDefault="007F4AB6">
      <w:pPr>
        <w:pStyle w:val="berschrift1"/>
        <w:numPr>
          <w:ilvl w:val="0"/>
          <w:numId w:val="1"/>
        </w:numPr>
        <w:tabs>
          <w:tab w:val="left" w:pos="730"/>
          <w:tab w:val="left" w:pos="731"/>
        </w:tabs>
        <w:spacing w:before="1"/>
        <w:ind w:hanging="433"/>
      </w:pPr>
      <w:r>
        <w:t>Verwendete</w:t>
      </w:r>
      <w:r>
        <w:rPr>
          <w:spacing w:val="-5"/>
        </w:rPr>
        <w:t xml:space="preserve"> </w:t>
      </w:r>
      <w:r>
        <w:t>Geräte</w:t>
      </w:r>
    </w:p>
    <w:p w14:paraId="0ED04B19" w14:textId="77777777" w:rsidR="001F38C3" w:rsidRDefault="001F38C3">
      <w:pPr>
        <w:pStyle w:val="Textkrper"/>
        <w:spacing w:before="8"/>
        <w:rPr>
          <w:b/>
        </w:rPr>
      </w:pPr>
    </w:p>
    <w:p w14:paraId="67DDA591" w14:textId="77777777" w:rsidR="001F38C3" w:rsidRDefault="007F4AB6">
      <w:pPr>
        <w:pStyle w:val="Textkrper"/>
        <w:ind w:left="298"/>
      </w:pPr>
      <w:r>
        <w:t>Kanalbürsten</w:t>
      </w:r>
    </w:p>
    <w:p w14:paraId="3D25A150" w14:textId="77777777" w:rsidR="001F38C3" w:rsidRDefault="007F4AB6">
      <w:pPr>
        <w:pStyle w:val="Textkrper"/>
        <w:spacing w:before="116"/>
        <w:ind w:left="298"/>
      </w:pPr>
      <w:r>
        <w:t>Vakuumanschluss (Endoskopieturm)</w:t>
      </w:r>
    </w:p>
    <w:p w14:paraId="67AA5AA5" w14:textId="77777777" w:rsidR="001F38C3" w:rsidRDefault="001F38C3">
      <w:pPr>
        <w:pStyle w:val="Textkrper"/>
        <w:rPr>
          <w:sz w:val="22"/>
        </w:rPr>
      </w:pPr>
    </w:p>
    <w:p w14:paraId="0D644AF4" w14:textId="77777777" w:rsidR="001F38C3" w:rsidRDefault="001F38C3">
      <w:pPr>
        <w:pStyle w:val="Textkrper"/>
        <w:spacing w:before="4"/>
        <w:rPr>
          <w:sz w:val="19"/>
        </w:rPr>
      </w:pPr>
    </w:p>
    <w:p w14:paraId="5B9C3267" w14:textId="77777777" w:rsidR="001F38C3" w:rsidRDefault="007F4AB6">
      <w:pPr>
        <w:pStyle w:val="berschrift1"/>
        <w:numPr>
          <w:ilvl w:val="0"/>
          <w:numId w:val="1"/>
        </w:numPr>
        <w:tabs>
          <w:tab w:val="left" w:pos="730"/>
          <w:tab w:val="left" w:pos="731"/>
        </w:tabs>
        <w:ind w:hanging="433"/>
      </w:pPr>
      <w:r>
        <w:t>Arbeitsschritte</w:t>
      </w:r>
    </w:p>
    <w:p w14:paraId="1246895D" w14:textId="77777777" w:rsidR="001F38C3" w:rsidRDefault="001F38C3">
      <w:pPr>
        <w:pStyle w:val="Textkrper"/>
        <w:spacing w:before="9"/>
        <w:rPr>
          <w:b/>
        </w:rPr>
      </w:pPr>
    </w:p>
    <w:p w14:paraId="37107680" w14:textId="77777777" w:rsidR="001F38C3" w:rsidRDefault="007F4AB6">
      <w:pPr>
        <w:pStyle w:val="Listenabsatz"/>
        <w:numPr>
          <w:ilvl w:val="1"/>
          <w:numId w:val="1"/>
        </w:numPr>
        <w:tabs>
          <w:tab w:val="left" w:pos="668"/>
        </w:tabs>
        <w:ind w:left="667" w:hanging="370"/>
        <w:rPr>
          <w:b/>
        </w:rPr>
      </w:pPr>
      <w:r>
        <w:rPr>
          <w:b/>
        </w:rPr>
        <w:t>Vorbereitung</w:t>
      </w:r>
    </w:p>
    <w:p w14:paraId="0D9ECB71" w14:textId="77777777" w:rsidR="001F38C3" w:rsidRDefault="001F38C3">
      <w:pPr>
        <w:pStyle w:val="Textkrper"/>
        <w:rPr>
          <w:b/>
          <w:sz w:val="22"/>
        </w:rPr>
      </w:pPr>
    </w:p>
    <w:p w14:paraId="1FEF77B5" w14:textId="77777777" w:rsidR="001F38C3" w:rsidRDefault="007F4AB6">
      <w:pPr>
        <w:pStyle w:val="Textkrper"/>
        <w:ind w:left="298" w:right="338"/>
      </w:pPr>
      <w:r>
        <w:t>Vor der ersten Endoskopie des Tages ist sicherzustellen, dass mindestens eine RGD-E Maschine, wie in Punkt SAA 01 beschrieben, leer und betriebsbereit zur Verfügung steht um eine eventuelle Zwischenlagerung von benutzten Endoskopen zu vermeiden und dadurch</w:t>
      </w:r>
      <w:r>
        <w:t xml:space="preserve"> mögliches Bakterienwachstum am Endoskop bzw. neuerliche Kontaminationen durch dieses, zu vermeiden.</w:t>
      </w:r>
    </w:p>
    <w:p w14:paraId="40D0236F" w14:textId="77777777" w:rsidR="001F38C3" w:rsidRDefault="007F4AB6">
      <w:pPr>
        <w:pStyle w:val="Textkrper"/>
        <w:spacing w:line="229" w:lineRule="exact"/>
        <w:ind w:left="298"/>
      </w:pPr>
      <w:r>
        <w:t>Das Spülbecken wird mit 10 l handwarmen Wasser (Markierung im Spülbecken beachten) und 300ml</w:t>
      </w:r>
    </w:p>
    <w:p w14:paraId="0BEC3A82" w14:textId="77777777" w:rsidR="001F38C3" w:rsidRDefault="007F4AB6">
      <w:pPr>
        <w:pStyle w:val="Textkrper"/>
        <w:spacing w:before="1"/>
        <w:ind w:left="298" w:right="338"/>
      </w:pPr>
      <w:r>
        <w:t>„Sekusept PLUS“ oder „Perfektan ENDO“ (Ecolab Dosierbecher ver</w:t>
      </w:r>
      <w:r>
        <w:t>wenden) um eine 2,5-3% Lösung zu erhalten – welche nach jedem Arbeitstag oder starker sichtbarer Verschmutzung gewechselt werden muss.</w:t>
      </w:r>
    </w:p>
    <w:p w14:paraId="008D5743" w14:textId="77777777" w:rsidR="001F38C3" w:rsidRDefault="001F38C3">
      <w:pPr>
        <w:pStyle w:val="Textkrper"/>
        <w:spacing w:before="11"/>
        <w:rPr>
          <w:sz w:val="19"/>
        </w:rPr>
      </w:pPr>
    </w:p>
    <w:p w14:paraId="49594423" w14:textId="77777777" w:rsidR="001F38C3" w:rsidRDefault="007F4AB6">
      <w:pPr>
        <w:pStyle w:val="berschrift1"/>
        <w:numPr>
          <w:ilvl w:val="1"/>
          <w:numId w:val="1"/>
        </w:numPr>
        <w:tabs>
          <w:tab w:val="left" w:pos="668"/>
        </w:tabs>
        <w:ind w:left="667" w:hanging="370"/>
      </w:pPr>
      <w:r>
        <w:t>Versorgung nach</w:t>
      </w:r>
      <w:r>
        <w:rPr>
          <w:spacing w:val="-2"/>
        </w:rPr>
        <w:t xml:space="preserve"> </w:t>
      </w:r>
      <w:r>
        <w:t>Gebrauch</w:t>
      </w:r>
    </w:p>
    <w:p w14:paraId="0097BF4C" w14:textId="77777777" w:rsidR="001F38C3" w:rsidRDefault="001F38C3">
      <w:pPr>
        <w:pStyle w:val="Textkrper"/>
        <w:spacing w:before="10"/>
        <w:rPr>
          <w:b/>
          <w:sz w:val="19"/>
        </w:rPr>
      </w:pPr>
    </w:p>
    <w:p w14:paraId="5892779C" w14:textId="77777777" w:rsidR="001F38C3" w:rsidRDefault="007F4AB6">
      <w:pPr>
        <w:pStyle w:val="Textkrper"/>
        <w:spacing w:before="1"/>
        <w:ind w:left="298" w:right="628"/>
        <w:jc w:val="both"/>
      </w:pPr>
      <w:r>
        <w:t>Das</w:t>
      </w:r>
      <w:r>
        <w:rPr>
          <w:spacing w:val="-4"/>
        </w:rPr>
        <w:t xml:space="preserve"> </w:t>
      </w:r>
      <w:r>
        <w:t>Endoskop</w:t>
      </w:r>
      <w:r>
        <w:rPr>
          <w:spacing w:val="-5"/>
        </w:rPr>
        <w:t xml:space="preserve"> </w:t>
      </w:r>
      <w:r>
        <w:t>wird</w:t>
      </w:r>
      <w:r>
        <w:rPr>
          <w:spacing w:val="-6"/>
        </w:rPr>
        <w:t xml:space="preserve"> </w:t>
      </w:r>
      <w:r>
        <w:t>direkt</w:t>
      </w:r>
      <w:r>
        <w:rPr>
          <w:spacing w:val="-4"/>
        </w:rPr>
        <w:t xml:space="preserve"> </w:t>
      </w:r>
      <w:r>
        <w:t>nach</w:t>
      </w:r>
      <w:r>
        <w:rPr>
          <w:spacing w:val="-6"/>
        </w:rPr>
        <w:t xml:space="preserve"> </w:t>
      </w:r>
      <w:r>
        <w:t>erfolgter</w:t>
      </w:r>
      <w:r>
        <w:rPr>
          <w:spacing w:val="-1"/>
        </w:rPr>
        <w:t xml:space="preserve"> </w:t>
      </w:r>
      <w:r>
        <w:t>Untersuchung</w:t>
      </w:r>
      <w:r>
        <w:rPr>
          <w:spacing w:val="-3"/>
        </w:rPr>
        <w:t xml:space="preserve"> </w:t>
      </w:r>
      <w:r>
        <w:t>vom</w:t>
      </w:r>
      <w:r>
        <w:rPr>
          <w:spacing w:val="-1"/>
        </w:rPr>
        <w:t xml:space="preserve"> </w:t>
      </w:r>
      <w:r>
        <w:t>untersuchenden</w:t>
      </w:r>
      <w:r>
        <w:rPr>
          <w:spacing w:val="-2"/>
        </w:rPr>
        <w:t xml:space="preserve"> </w:t>
      </w:r>
      <w:r>
        <w:t>Arzt</w:t>
      </w:r>
      <w:r>
        <w:rPr>
          <w:spacing w:val="-5"/>
        </w:rPr>
        <w:t xml:space="preserve"> </w:t>
      </w:r>
      <w:r>
        <w:t>in</w:t>
      </w:r>
      <w:r>
        <w:rPr>
          <w:spacing w:val="-5"/>
        </w:rPr>
        <w:t xml:space="preserve"> </w:t>
      </w:r>
      <w:r>
        <w:t>die</w:t>
      </w:r>
      <w:r>
        <w:rPr>
          <w:spacing w:val="-6"/>
        </w:rPr>
        <w:t xml:space="preserve"> </w:t>
      </w:r>
      <w:r>
        <w:t>Halterung</w:t>
      </w:r>
      <w:r>
        <w:rPr>
          <w:spacing w:val="-2"/>
        </w:rPr>
        <w:t xml:space="preserve"> </w:t>
      </w:r>
      <w:r>
        <w:t>des Endoskopieturms gelegt und das Einführteil in den linken Flüssigkeitsbehälter (gelbe Farbmarkierung) getaucht.</w:t>
      </w:r>
    </w:p>
    <w:p w14:paraId="060393F0" w14:textId="77777777" w:rsidR="001F38C3" w:rsidRDefault="007F4AB6">
      <w:pPr>
        <w:pStyle w:val="Textkrper"/>
        <w:spacing w:before="1"/>
        <w:ind w:left="298" w:right="926"/>
        <w:jc w:val="both"/>
      </w:pPr>
      <w:r>
        <w:t>Das in der Endoskopie diensthabende med. Personal spült unter Verwendung des Spülventils das Endoskop mehrmals mit Eiweißlöser (Sekusept Pulv</w:t>
      </w:r>
      <w:r>
        <w:t>er CLASSIC in 2%iger Lösung – 20g Pulver/L Wasser) durch und wiederholt diesen Vorgang gleich darauf mit klarem, sauberen Wasser (rechter</w:t>
      </w:r>
    </w:p>
    <w:p w14:paraId="524F0B38" w14:textId="77777777" w:rsidR="001F38C3" w:rsidRDefault="001F38C3">
      <w:pPr>
        <w:jc w:val="both"/>
        <w:sectPr w:rsidR="001F38C3">
          <w:footerReference w:type="default" r:id="rId7"/>
          <w:type w:val="continuous"/>
          <w:pgSz w:w="11900" w:h="16840"/>
          <w:pgMar w:top="700" w:right="840" w:bottom="880" w:left="1120" w:header="720" w:footer="691" w:gutter="0"/>
          <w:pgNumType w:start="1"/>
          <w:cols w:space="720"/>
        </w:sectPr>
      </w:pPr>
    </w:p>
    <w:p w14:paraId="3D6E438D" w14:textId="77777777" w:rsidR="001F38C3" w:rsidRDefault="007F4AB6">
      <w:pPr>
        <w:pStyle w:val="Textkrper"/>
        <w:spacing w:before="78" w:line="229" w:lineRule="exact"/>
        <w:ind w:left="298"/>
      </w:pPr>
      <w:r>
        <w:lastRenderedPageBreak/>
        <w:t>Flüssigkeitsbehälter – grün Farbmarkierung) um Sekusept aus dem Gerät zu waschen.</w:t>
      </w:r>
    </w:p>
    <w:p w14:paraId="4A225AC1" w14:textId="77777777" w:rsidR="001F38C3" w:rsidRDefault="007F4AB6">
      <w:pPr>
        <w:pStyle w:val="Textkrper"/>
        <w:ind w:left="298" w:right="338"/>
      </w:pPr>
      <w:r>
        <w:t>Das Gerät wird nach abstecken aller versorgenden Stecker und Anbringen der Verschlusskappen noch am Endoskopieturm, direkt in das in Punkt 5.1. beschrieben vorbereitete Wasch</w:t>
      </w:r>
      <w:r>
        <w:t>becken gelegt und sofort unter Verwendung eines umgebauten Blutdruckmessgeräts unter Druck gesetzt (220 mmHg) um ein Eintreten von Flüssigkeit durch eventuelle Leckagen zu verhindern. Dieses Vorgehen entspricht sowohl der ersten Dichtigkeitskontrolle als a</w:t>
      </w:r>
      <w:r>
        <w:t>uch der Kontrolle auf Beschädigungen durch die vorangegangene Untersuchung oder Handhabung des Gerätes.</w:t>
      </w:r>
    </w:p>
    <w:p w14:paraId="2300727C" w14:textId="77777777" w:rsidR="001F38C3" w:rsidRDefault="007F4AB6">
      <w:pPr>
        <w:pStyle w:val="Textkrper"/>
        <w:ind w:left="298" w:right="717"/>
      </w:pPr>
      <w:r>
        <w:t>Im Nächsten Schritt wir das Gerät vollständig unter Wasser getaucht und beide Kanäle (zum Versorgungsstecker und zum Objektiv) vom Handgriff aus mit ein</w:t>
      </w:r>
      <w:r>
        <w:t>er doppelt bestückten Einmalbürste gereinigt, indem diese nur in einer Richtung durch das Gerät geschoben bzw. gezogen wird (doppelt gebürstet bei nur einem Durchgang).</w:t>
      </w:r>
    </w:p>
    <w:p w14:paraId="6334C6C0" w14:textId="77777777" w:rsidR="001F38C3" w:rsidRDefault="007F4AB6">
      <w:pPr>
        <w:pStyle w:val="Textkrper"/>
        <w:spacing w:before="1" w:line="252" w:lineRule="exact"/>
        <w:ind w:left="298"/>
        <w:rPr>
          <w:sz w:val="22"/>
        </w:rPr>
      </w:pPr>
      <w:r>
        <w:t>Nach dieser erfolgten Vorreinigung wir das Endoskop in die RGD-E eingelegt</w:t>
      </w:r>
      <w:r>
        <w:rPr>
          <w:sz w:val="22"/>
        </w:rPr>
        <w:t>.</w:t>
      </w:r>
    </w:p>
    <w:p w14:paraId="7AB9AD6E" w14:textId="77777777" w:rsidR="001F38C3" w:rsidRDefault="007F4AB6">
      <w:pPr>
        <w:pStyle w:val="Textkrper"/>
        <w:spacing w:line="229" w:lineRule="exact"/>
        <w:ind w:left="298"/>
      </w:pPr>
      <w:r>
        <w:t>Standzeit v</w:t>
      </w:r>
      <w:r>
        <w:t>or dem Einbringen in das RDG – E: maximal nach einem Vollzyklus der ETD 3</w:t>
      </w:r>
    </w:p>
    <w:p w14:paraId="403F5490" w14:textId="77777777" w:rsidR="001F38C3" w:rsidRDefault="001F38C3">
      <w:pPr>
        <w:pStyle w:val="Textkrper"/>
        <w:rPr>
          <w:sz w:val="22"/>
        </w:rPr>
      </w:pPr>
    </w:p>
    <w:p w14:paraId="589BFF0A" w14:textId="77777777" w:rsidR="001F38C3" w:rsidRDefault="001F38C3">
      <w:pPr>
        <w:pStyle w:val="Textkrper"/>
        <w:spacing w:before="4"/>
        <w:rPr>
          <w:sz w:val="19"/>
        </w:rPr>
      </w:pPr>
    </w:p>
    <w:p w14:paraId="7393FD98" w14:textId="77777777" w:rsidR="001F38C3" w:rsidRDefault="007F4AB6">
      <w:pPr>
        <w:pStyle w:val="berschrift1"/>
        <w:numPr>
          <w:ilvl w:val="0"/>
          <w:numId w:val="1"/>
        </w:numPr>
        <w:tabs>
          <w:tab w:val="left" w:pos="730"/>
          <w:tab w:val="left" w:pos="731"/>
        </w:tabs>
        <w:spacing w:before="1"/>
        <w:ind w:hanging="433"/>
      </w:pPr>
      <w:r>
        <w:t>Personalschutz</w:t>
      </w:r>
    </w:p>
    <w:p w14:paraId="0F749DB1" w14:textId="77777777" w:rsidR="001F38C3" w:rsidRDefault="001F38C3">
      <w:pPr>
        <w:pStyle w:val="Textkrper"/>
        <w:spacing w:before="8"/>
        <w:rPr>
          <w:b/>
        </w:rPr>
      </w:pPr>
    </w:p>
    <w:p w14:paraId="07D25151" w14:textId="77777777" w:rsidR="001F38C3" w:rsidRDefault="007F4AB6">
      <w:pPr>
        <w:pStyle w:val="Listenabsatz"/>
        <w:numPr>
          <w:ilvl w:val="1"/>
          <w:numId w:val="1"/>
        </w:numPr>
        <w:tabs>
          <w:tab w:val="left" w:pos="874"/>
          <w:tab w:val="left" w:pos="875"/>
        </w:tabs>
        <w:spacing w:line="360" w:lineRule="auto"/>
        <w:ind w:right="317" w:hanging="576"/>
        <w:rPr>
          <w:sz w:val="20"/>
        </w:rPr>
      </w:pPr>
      <w:r>
        <w:rPr>
          <w:sz w:val="20"/>
        </w:rPr>
        <w:t>Beim</w:t>
      </w:r>
      <w:r>
        <w:rPr>
          <w:spacing w:val="-3"/>
          <w:sz w:val="20"/>
        </w:rPr>
        <w:t xml:space="preserve"> </w:t>
      </w:r>
      <w:r>
        <w:rPr>
          <w:sz w:val="20"/>
        </w:rPr>
        <w:t>Bürsten</w:t>
      </w:r>
      <w:r>
        <w:rPr>
          <w:spacing w:val="-4"/>
          <w:sz w:val="20"/>
        </w:rPr>
        <w:t xml:space="preserve"> </w:t>
      </w:r>
      <w:r>
        <w:rPr>
          <w:sz w:val="20"/>
        </w:rPr>
        <w:t>der</w:t>
      </w:r>
      <w:r>
        <w:rPr>
          <w:spacing w:val="-3"/>
          <w:sz w:val="20"/>
        </w:rPr>
        <w:t xml:space="preserve"> </w:t>
      </w:r>
      <w:r>
        <w:rPr>
          <w:sz w:val="20"/>
        </w:rPr>
        <w:t>Endoskope</w:t>
      </w:r>
      <w:r>
        <w:rPr>
          <w:spacing w:val="-4"/>
          <w:sz w:val="20"/>
        </w:rPr>
        <w:t xml:space="preserve"> </w:t>
      </w:r>
      <w:r>
        <w:rPr>
          <w:sz w:val="20"/>
        </w:rPr>
        <w:t>werden</w:t>
      </w:r>
      <w:r>
        <w:rPr>
          <w:spacing w:val="-3"/>
          <w:sz w:val="20"/>
        </w:rPr>
        <w:t xml:space="preserve"> </w:t>
      </w:r>
      <w:r>
        <w:rPr>
          <w:sz w:val="20"/>
        </w:rPr>
        <w:t>1x</w:t>
      </w:r>
      <w:r>
        <w:rPr>
          <w:spacing w:val="-5"/>
          <w:sz w:val="20"/>
        </w:rPr>
        <w:t xml:space="preserve"> </w:t>
      </w:r>
      <w:r>
        <w:rPr>
          <w:sz w:val="20"/>
        </w:rPr>
        <w:t>Handschuhe,</w:t>
      </w:r>
      <w:r>
        <w:rPr>
          <w:spacing w:val="-4"/>
          <w:sz w:val="20"/>
        </w:rPr>
        <w:t xml:space="preserve"> </w:t>
      </w:r>
      <w:r>
        <w:rPr>
          <w:sz w:val="20"/>
        </w:rPr>
        <w:t>eine</w:t>
      </w:r>
      <w:r>
        <w:rPr>
          <w:spacing w:val="-7"/>
          <w:sz w:val="20"/>
        </w:rPr>
        <w:t xml:space="preserve"> </w:t>
      </w:r>
      <w:r>
        <w:rPr>
          <w:sz w:val="20"/>
        </w:rPr>
        <w:t>flüssigkeitsdichte</w:t>
      </w:r>
      <w:r>
        <w:rPr>
          <w:spacing w:val="-4"/>
          <w:sz w:val="20"/>
        </w:rPr>
        <w:t xml:space="preserve"> </w:t>
      </w:r>
      <w:r>
        <w:rPr>
          <w:sz w:val="20"/>
        </w:rPr>
        <w:t>Einmalschürze</w:t>
      </w:r>
      <w:r>
        <w:rPr>
          <w:spacing w:val="-6"/>
          <w:sz w:val="20"/>
        </w:rPr>
        <w:t xml:space="preserve"> </w:t>
      </w:r>
      <w:r>
        <w:rPr>
          <w:sz w:val="20"/>
        </w:rPr>
        <w:t>sowie eine Schutzbrille getragen, welche vorhanden</w:t>
      </w:r>
      <w:r>
        <w:rPr>
          <w:spacing w:val="2"/>
          <w:sz w:val="20"/>
        </w:rPr>
        <w:t xml:space="preserve"> </w:t>
      </w:r>
      <w:r>
        <w:rPr>
          <w:sz w:val="20"/>
        </w:rPr>
        <w:t>sind</w:t>
      </w:r>
    </w:p>
    <w:p w14:paraId="2A8644E1" w14:textId="77777777" w:rsidR="001F38C3" w:rsidRDefault="001F38C3">
      <w:pPr>
        <w:pStyle w:val="Textkrper"/>
        <w:spacing w:before="5"/>
        <w:rPr>
          <w:sz w:val="31"/>
        </w:rPr>
      </w:pPr>
    </w:p>
    <w:p w14:paraId="7C0D24E8" w14:textId="77777777" w:rsidR="001F38C3" w:rsidRDefault="007F4AB6">
      <w:pPr>
        <w:pStyle w:val="Listenabsatz"/>
        <w:numPr>
          <w:ilvl w:val="1"/>
          <w:numId w:val="1"/>
        </w:numPr>
        <w:tabs>
          <w:tab w:val="left" w:pos="874"/>
          <w:tab w:val="left" w:pos="875"/>
        </w:tabs>
        <w:spacing w:line="360" w:lineRule="auto"/>
        <w:ind w:right="536" w:hanging="576"/>
        <w:rPr>
          <w:sz w:val="20"/>
        </w:rPr>
      </w:pPr>
      <w:r>
        <w:rPr>
          <w:sz w:val="20"/>
        </w:rPr>
        <w:t>Grundsätzlich ist nach jedem Patienten eine sorgfältige Flächendesinfektion des patientennahen Bereiches (z.B. Untersuchungsliege)</w:t>
      </w:r>
      <w:r>
        <w:rPr>
          <w:spacing w:val="1"/>
          <w:sz w:val="20"/>
        </w:rPr>
        <w:t xml:space="preserve"> </w:t>
      </w:r>
      <w:r>
        <w:rPr>
          <w:sz w:val="20"/>
        </w:rPr>
        <w:t>durchzuführen</w:t>
      </w:r>
    </w:p>
    <w:sectPr w:rsidR="001F38C3">
      <w:pgSz w:w="11900" w:h="16840"/>
      <w:pgMar w:top="1340" w:right="840" w:bottom="880" w:left="11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91E3" w14:textId="77777777" w:rsidR="00000000" w:rsidRDefault="007F4AB6">
      <w:r>
        <w:separator/>
      </w:r>
    </w:p>
  </w:endnote>
  <w:endnote w:type="continuationSeparator" w:id="0">
    <w:p w14:paraId="460C4882" w14:textId="77777777" w:rsidR="00000000" w:rsidRDefault="007F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85E" w14:textId="77777777" w:rsidR="001F38C3" w:rsidRDefault="007F4AB6">
    <w:pPr>
      <w:pStyle w:val="Textkrper"/>
      <w:spacing w:line="14" w:lineRule="auto"/>
    </w:pPr>
    <w:r>
      <w:pict w14:anchorId="3F3079E8">
        <v:shapetype id="_x0000_t202" coordsize="21600,21600" o:spt="202" path="m,l,21600r21600,l21600,xe">
          <v:stroke joinstyle="miter"/>
          <v:path gradientshapeok="t" o:connecttype="rect"/>
        </v:shapetype>
        <v:shape id="_x0000_s2049" type="#_x0000_t202" style="position:absolute;margin-left:490.9pt;margin-top:796.45pt;width:48.85pt;height:11pt;z-index:-251658752;mso-position-horizontal-relative:page;mso-position-vertical-relative:page" filled="f" stroked="f">
          <v:textbox inset="0,0,0,0">
            <w:txbxContent>
              <w:p w14:paraId="4B87927F" w14:textId="77777777" w:rsidR="001F38C3" w:rsidRDefault="007F4AB6">
                <w:pPr>
                  <w:spacing w:before="15"/>
                  <w:ind w:left="20"/>
                  <w:rPr>
                    <w:sz w:val="16"/>
                  </w:rPr>
                </w:pPr>
                <w:r>
                  <w:rPr>
                    <w:sz w:val="16"/>
                  </w:rPr>
                  <w:t xml:space="preserve">Seite </w:t>
                </w:r>
                <w:r>
                  <w:fldChar w:fldCharType="begin"/>
                </w:r>
                <w:r>
                  <w:rPr>
                    <w:sz w:val="16"/>
                  </w:rPr>
                  <w:instrText xml:space="preserve"> PAGE </w:instrText>
                </w:r>
                <w:r>
                  <w:fldChar w:fldCharType="separate"/>
                </w:r>
                <w:r>
                  <w:t>1</w:t>
                </w:r>
                <w:r>
                  <w:fldChar w:fldCharType="end"/>
                </w:r>
                <w:r>
                  <w:rPr>
                    <w:sz w:val="16"/>
                  </w:rPr>
                  <w:t xml:space="preserve"> von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5ED3" w14:textId="77777777" w:rsidR="00000000" w:rsidRDefault="007F4AB6">
      <w:r>
        <w:separator/>
      </w:r>
    </w:p>
  </w:footnote>
  <w:footnote w:type="continuationSeparator" w:id="0">
    <w:p w14:paraId="0BC4BC39" w14:textId="77777777" w:rsidR="00000000" w:rsidRDefault="007F4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8288A"/>
    <w:multiLevelType w:val="multilevel"/>
    <w:tmpl w:val="D3749EC8"/>
    <w:lvl w:ilvl="0">
      <w:start w:val="1"/>
      <w:numFmt w:val="decimal"/>
      <w:lvlText w:val="%1"/>
      <w:lvlJc w:val="left"/>
      <w:pPr>
        <w:ind w:left="730" w:hanging="432"/>
        <w:jc w:val="left"/>
      </w:pPr>
      <w:rPr>
        <w:rFonts w:ascii="Arial" w:eastAsia="Arial" w:hAnsi="Arial" w:cs="Arial" w:hint="default"/>
        <w:b/>
        <w:bCs/>
        <w:w w:val="100"/>
        <w:sz w:val="22"/>
        <w:szCs w:val="22"/>
      </w:rPr>
    </w:lvl>
    <w:lvl w:ilvl="1">
      <w:start w:val="1"/>
      <w:numFmt w:val="decimal"/>
      <w:lvlText w:val="%1.%2"/>
      <w:lvlJc w:val="left"/>
      <w:pPr>
        <w:ind w:left="874" w:hanging="577"/>
        <w:jc w:val="left"/>
      </w:pPr>
      <w:rPr>
        <w:rFonts w:hint="default"/>
        <w:spacing w:val="-1"/>
        <w:w w:val="99"/>
      </w:rPr>
    </w:lvl>
    <w:lvl w:ilvl="2">
      <w:numFmt w:val="bullet"/>
      <w:lvlText w:val="•"/>
      <w:lvlJc w:val="left"/>
      <w:pPr>
        <w:ind w:left="880" w:hanging="577"/>
      </w:pPr>
      <w:rPr>
        <w:rFonts w:hint="default"/>
      </w:rPr>
    </w:lvl>
    <w:lvl w:ilvl="3">
      <w:numFmt w:val="bullet"/>
      <w:lvlText w:val="•"/>
      <w:lvlJc w:val="left"/>
      <w:pPr>
        <w:ind w:left="2012" w:hanging="577"/>
      </w:pPr>
      <w:rPr>
        <w:rFonts w:hint="default"/>
      </w:rPr>
    </w:lvl>
    <w:lvl w:ilvl="4">
      <w:numFmt w:val="bullet"/>
      <w:lvlText w:val="•"/>
      <w:lvlJc w:val="left"/>
      <w:pPr>
        <w:ind w:left="3145" w:hanging="577"/>
      </w:pPr>
      <w:rPr>
        <w:rFonts w:hint="default"/>
      </w:rPr>
    </w:lvl>
    <w:lvl w:ilvl="5">
      <w:numFmt w:val="bullet"/>
      <w:lvlText w:val="•"/>
      <w:lvlJc w:val="left"/>
      <w:pPr>
        <w:ind w:left="4277" w:hanging="577"/>
      </w:pPr>
      <w:rPr>
        <w:rFonts w:hint="default"/>
      </w:rPr>
    </w:lvl>
    <w:lvl w:ilvl="6">
      <w:numFmt w:val="bullet"/>
      <w:lvlText w:val="•"/>
      <w:lvlJc w:val="left"/>
      <w:pPr>
        <w:ind w:left="5410" w:hanging="577"/>
      </w:pPr>
      <w:rPr>
        <w:rFonts w:hint="default"/>
      </w:rPr>
    </w:lvl>
    <w:lvl w:ilvl="7">
      <w:numFmt w:val="bullet"/>
      <w:lvlText w:val="•"/>
      <w:lvlJc w:val="left"/>
      <w:pPr>
        <w:ind w:left="6542" w:hanging="577"/>
      </w:pPr>
      <w:rPr>
        <w:rFonts w:hint="default"/>
      </w:rPr>
    </w:lvl>
    <w:lvl w:ilvl="8">
      <w:numFmt w:val="bullet"/>
      <w:lvlText w:val="•"/>
      <w:lvlJc w:val="left"/>
      <w:pPr>
        <w:ind w:left="7675" w:hanging="57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F38C3"/>
    <w:rsid w:val="001F38C3"/>
    <w:rsid w:val="007F4A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4CFEF9"/>
  <w15:docId w15:val="{D1EA5B86-AB27-4BFF-AEF5-28CD5B44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730" w:hanging="43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30" w:hanging="433"/>
    </w:pPr>
  </w:style>
  <w:style w:type="paragraph" w:customStyle="1" w:styleId="TableParagraph">
    <w:name w:val="Table Paragraph"/>
    <w:basedOn w:val="Stand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SAA 02 Vorbereiten der Endoskope vor dem Einlegen in das RDG - E.docx</dc:title>
  <dc:creator>user</dc:creator>
  <cp:lastModifiedBy>Gerald Oppeck</cp:lastModifiedBy>
  <cp:revision>2</cp:revision>
  <dcterms:created xsi:type="dcterms:W3CDTF">2020-02-24T08:53:00Z</dcterms:created>
  <dcterms:modified xsi:type="dcterms:W3CDTF">2021-06-04T06:51:00Z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PDF24 Creator</vt:lpwstr>
  </property>
  <property fmtid="{D5CDD505-2E9C-101B-9397-08002B2CF9AE}" pid="4" name="LastSaved">
    <vt:filetime>2020-02-24T00:00:00Z</vt:filetime>
  </property>
</Properties>
</file>