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"/>
        <w:rPr>
          <w:rFonts w:ascii="Times New Roman"/>
        </w:rPr>
      </w:pPr>
      <w:r>
        <w:rPr>
          <w:rFonts w:ascii="Times New Roman"/>
        </w:rPr>
        <w:pict>
          <v:group style="width:488.2pt;height:84pt;mso-position-horizontal-relative:char;mso-position-vertical-relative:line" id="docshapegroup2" coordorigin="0,0" coordsize="9764,1680">
            <v:shape style="position:absolute;left:2901;top:21;width:6840;height:1637" type="#_x0000_t202" id="docshape3" filled="false" stroked="true" strokeweight="2.16pt" strokecolor="#000000">
              <v:textbox inset="0,0,0,0">
                <w:txbxContent>
                  <w:p>
                    <w:pPr>
                      <w:spacing w:line="360" w:lineRule="auto" w:before="178"/>
                      <w:ind w:left="816" w:right="81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03 – Versorgung der Endotherapieprodukte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Vorbereiten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dieser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dem</w:t>
                    </w:r>
                  </w:p>
                  <w:p>
                    <w:pPr>
                      <w:spacing w:before="0"/>
                      <w:ind w:left="815" w:right="81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Einlegen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RDG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21;top:21;width:2880;height:1637" type="#_x0000_t202" id="docshape4" filled="false" stroked="true" strokeweight="2.1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before="0"/>
                      <w:ind w:left="4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Ordination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Dr.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NN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4" w:after="1"/>
        <w:rPr>
          <w:rFonts w:ascii="Times New Roman"/>
          <w:sz w:val="23"/>
        </w:rPr>
      </w:pPr>
    </w:p>
    <w:tbl>
      <w:tblPr>
        <w:tblW w:w="0" w:type="auto"/>
        <w:jc w:val="left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3240"/>
        <w:gridCol w:w="1416"/>
        <w:gridCol w:w="3403"/>
      </w:tblGrid>
      <w:tr>
        <w:trPr>
          <w:trHeight w:val="371" w:hRule="atLeast"/>
        </w:trPr>
        <w:tc>
          <w:tcPr>
            <w:tcW w:w="1582" w:type="dxa"/>
          </w:tcPr>
          <w:p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582" w:type="dxa"/>
          </w:tcPr>
          <w:p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>
            <w:pPr>
              <w:pStyle w:val="TableParagraph"/>
              <w:spacing w:before="75"/>
              <w:ind w:left="68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>
            <w:pPr>
              <w:pStyle w:val="TableParagraph"/>
              <w:spacing w:before="75"/>
              <w:ind w:left="68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582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Gültig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ab:</w:t>
            </w:r>
          </w:p>
        </w:tc>
        <w:tc>
          <w:tcPr>
            <w:tcW w:w="3240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August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2019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1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93" w:after="0"/>
        <w:ind w:left="730" w:right="0" w:hanging="433"/>
        <w:jc w:val="left"/>
        <w:rPr>
          <w:b w:val="0"/>
        </w:rPr>
      </w:pPr>
      <w:bookmarkStart w:name="1 Zweck" w:id="1"/>
      <w:bookmarkEnd w:id="1"/>
      <w:r>
        <w:rPr>
          <w:b w:val="0"/>
        </w:rPr>
      </w:r>
      <w:bookmarkStart w:name="1 Zweck" w:id="2"/>
      <w:bookmarkEnd w:id="2"/>
      <w:r>
        <w:rPr/>
        <w:t>Z</w:t>
      </w:r>
      <w:r>
        <w:rPr/>
        <w:t>weck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57" w:lineRule="auto"/>
        <w:ind w:left="298" w:right="815"/>
      </w:pPr>
      <w:bookmarkStart w:name="Diese Standard – Arbeitsanweisung (SAA) " w:id="3"/>
      <w:bookmarkEnd w:id="3"/>
      <w:r>
        <w:rPr/>
      </w:r>
      <w:r>
        <w:rPr/>
        <w:t>Diese Standard – Arbeitsanweisung (SAA) regelt die Versorgung der Endotherapieprodukte und die</w:t>
      </w:r>
      <w:r>
        <w:rPr>
          <w:spacing w:val="-53"/>
        </w:rPr>
        <w:t> </w:t>
      </w:r>
      <w:r>
        <w:rPr/>
        <w:t>Vorbereitung dieser vor dem</w:t>
      </w:r>
      <w:r>
        <w:rPr>
          <w:spacing w:val="-2"/>
        </w:rPr>
        <w:t> </w:t>
      </w:r>
      <w:r>
        <w:rPr/>
        <w:t>Einlegen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das RDG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E.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0" w:after="0"/>
        <w:ind w:left="730" w:right="0" w:hanging="433"/>
        <w:jc w:val="left"/>
      </w:pPr>
      <w:bookmarkStart w:name="2 Verantwortlichkeiten" w:id="4"/>
      <w:bookmarkEnd w:id="4"/>
      <w:r>
        <w:rPr>
          <w:b w:val="0"/>
        </w:rPr>
      </w:r>
      <w:bookmarkStart w:name="2 Verantwortlichkeiten" w:id="5"/>
      <w:bookmarkEnd w:id="5"/>
      <w:r>
        <w:rPr/>
        <w:t>Ve</w:t>
      </w:r>
      <w:r>
        <w:rPr/>
        <w:t>rantwortlichkeiten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298"/>
      </w:pPr>
      <w:r>
        <w:rPr/>
        <w:t>Mitarbeiter/innen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der</w:t>
      </w:r>
      <w:r>
        <w:rPr>
          <w:spacing w:val="-3"/>
        </w:rPr>
        <w:t> </w:t>
      </w:r>
      <w:r>
        <w:rPr/>
        <w:t>Aufbereitung,</w:t>
      </w:r>
      <w:r>
        <w:rPr>
          <w:spacing w:val="-5"/>
        </w:rPr>
        <w:t> </w:t>
      </w:r>
      <w:r>
        <w:rPr/>
        <w:t>die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erforderliche</w:t>
      </w:r>
      <w:r>
        <w:rPr>
          <w:spacing w:val="-5"/>
        </w:rPr>
        <w:t> </w:t>
      </w:r>
      <w:r>
        <w:rPr/>
        <w:t>Ausbildung,Kenntnis</w:t>
      </w:r>
      <w:r>
        <w:rPr>
          <w:spacing w:val="-3"/>
        </w:rPr>
        <w:t> </w:t>
      </w:r>
      <w:r>
        <w:rPr/>
        <w:t>und</w:t>
      </w:r>
      <w:r>
        <w:rPr>
          <w:spacing w:val="-5"/>
        </w:rPr>
        <w:t> </w:t>
      </w:r>
      <w:r>
        <w:rPr/>
        <w:t>Erfahrung</w:t>
      </w:r>
      <w:r>
        <w:rPr>
          <w:spacing w:val="-5"/>
        </w:rPr>
        <w:t> </w:t>
      </w:r>
      <w:r>
        <w:rPr/>
        <w:t>haben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0" w:after="0"/>
        <w:ind w:left="730" w:right="0" w:hanging="433"/>
        <w:jc w:val="left"/>
      </w:pPr>
      <w:bookmarkStart w:name="3 Verwendetes Material" w:id="6"/>
      <w:bookmarkEnd w:id="6"/>
      <w:r>
        <w:rPr>
          <w:b w:val="0"/>
        </w:rPr>
      </w:r>
      <w:bookmarkStart w:name="3 Verwendetes Material" w:id="7"/>
      <w:bookmarkEnd w:id="7"/>
      <w:r>
        <w:rPr/>
        <w:t>Ve</w:t>
      </w:r>
      <w:r>
        <w:rPr/>
        <w:t>rwendetes</w:t>
      </w:r>
      <w:r>
        <w:rPr>
          <w:spacing w:val="-8"/>
        </w:rPr>
        <w:t> </w:t>
      </w:r>
      <w:r>
        <w:rPr/>
        <w:t>Material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284"/>
        <w:jc w:val="left"/>
        <w:rPr>
          <w:sz w:val="20"/>
        </w:rPr>
      </w:pPr>
      <w:r>
        <w:rPr>
          <w:sz w:val="20"/>
        </w:rPr>
        <w:t>Desinfektionsmittel</w:t>
      </w:r>
      <w:r>
        <w:rPr>
          <w:spacing w:val="-6"/>
          <w:sz w:val="20"/>
        </w:rPr>
        <w:t> </w:t>
      </w:r>
      <w:r>
        <w:rPr>
          <w:sz w:val="20"/>
        </w:rPr>
        <w:t>Perfektan</w:t>
      </w:r>
      <w:r>
        <w:rPr>
          <w:spacing w:val="-7"/>
          <w:sz w:val="20"/>
        </w:rPr>
        <w:t> </w:t>
      </w:r>
      <w:r>
        <w:rPr>
          <w:sz w:val="20"/>
        </w:rPr>
        <w:t>Endo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  <w:tab w:pos="582" w:val="left" w:leader="none"/>
        </w:tabs>
        <w:spacing w:line="240" w:lineRule="auto" w:before="115" w:after="0"/>
        <w:ind w:left="581" w:right="0" w:hanging="284"/>
        <w:jc w:val="left"/>
        <w:rPr>
          <w:sz w:val="20"/>
        </w:rPr>
      </w:pPr>
      <w:r>
        <w:rPr>
          <w:sz w:val="20"/>
        </w:rPr>
        <w:t>Einmaltücher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1" w:after="0"/>
        <w:ind w:left="730" w:right="0" w:hanging="433"/>
        <w:jc w:val="left"/>
      </w:pPr>
      <w:bookmarkStart w:name="4 Arbeitsschritte" w:id="8"/>
      <w:bookmarkEnd w:id="8"/>
      <w:r>
        <w:rPr>
          <w:b w:val="0"/>
        </w:rPr>
      </w:r>
      <w:bookmarkStart w:name="4 Arbeitsschritte" w:id="9"/>
      <w:bookmarkEnd w:id="9"/>
      <w:r>
        <w:rPr/>
        <w:t>A</w:t>
      </w:r>
      <w:r>
        <w:rPr/>
        <w:t>rbeitsschritte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before="1"/>
        <w:ind w:left="298"/>
      </w:pPr>
      <w:r>
        <w:rPr/>
        <w:t>Standzeit</w:t>
      </w:r>
      <w:r>
        <w:rPr>
          <w:spacing w:val="-1"/>
        </w:rPr>
        <w:t> </w:t>
      </w:r>
      <w:r>
        <w:rPr/>
        <w:t>vor</w:t>
      </w:r>
      <w:r>
        <w:rPr>
          <w:spacing w:val="-2"/>
        </w:rPr>
        <w:t> </w:t>
      </w:r>
      <w:r>
        <w:rPr/>
        <w:t>dem</w:t>
      </w:r>
      <w:r>
        <w:rPr>
          <w:spacing w:val="-3"/>
        </w:rPr>
        <w:t> </w:t>
      </w:r>
      <w:r>
        <w:rPr/>
        <w:t>Einbringen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RDG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E:</w:t>
      </w:r>
      <w:r>
        <w:rPr>
          <w:spacing w:val="-1"/>
        </w:rPr>
        <w:t> </w:t>
      </w:r>
      <w:r>
        <w:rPr/>
        <w:t>Maximal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einem</w:t>
      </w:r>
      <w:r>
        <w:rPr>
          <w:spacing w:val="-1"/>
        </w:rPr>
        <w:t> </w:t>
      </w:r>
      <w:r>
        <w:rPr/>
        <w:t>Vollzyklus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ETD3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30" w:val="left" w:leader="none"/>
          <w:tab w:pos="731" w:val="left" w:leader="none"/>
        </w:tabs>
        <w:spacing w:line="240" w:lineRule="auto" w:before="0" w:after="0"/>
        <w:ind w:left="730" w:right="0" w:hanging="433"/>
        <w:jc w:val="left"/>
      </w:pPr>
      <w:bookmarkStart w:name="5 Versorgung der Endotherapieprodukte" w:id="10"/>
      <w:bookmarkEnd w:id="10"/>
      <w:r>
        <w:rPr>
          <w:b w:val="0"/>
        </w:rPr>
      </w:r>
      <w:bookmarkStart w:name="5 Versorgung der Endotherapieprodukte" w:id="11"/>
      <w:bookmarkEnd w:id="11"/>
      <w:r>
        <w:rPr/>
        <w:t>Ve</w:t>
      </w:r>
      <w:r>
        <w:rPr/>
        <w:t>rsorgung</w:t>
      </w:r>
      <w:r>
        <w:rPr>
          <w:spacing w:val="-6"/>
        </w:rPr>
        <w:t> </w:t>
      </w:r>
      <w:r>
        <w:rPr/>
        <w:t>der</w:t>
      </w:r>
      <w:r>
        <w:rPr>
          <w:spacing w:val="-7"/>
        </w:rPr>
        <w:t> </w:t>
      </w:r>
      <w:r>
        <w:rPr/>
        <w:t>Endotherapieprodukte</w:t>
      </w:r>
    </w:p>
    <w:p>
      <w:pPr>
        <w:pStyle w:val="BodyText"/>
        <w:spacing w:before="9"/>
        <w:rPr>
          <w:b/>
        </w:rPr>
      </w:pPr>
    </w:p>
    <w:p>
      <w:pPr>
        <w:pStyle w:val="Heading2"/>
      </w:pPr>
      <w:r>
        <w:rPr/>
        <w:t>Biopsiezangen</w:t>
      </w:r>
    </w:p>
    <w:p>
      <w:pPr>
        <w:pStyle w:val="BodyText"/>
        <w:spacing w:line="357" w:lineRule="auto" w:before="115"/>
        <w:ind w:left="298" w:right="837"/>
      </w:pPr>
      <w:r>
        <w:rPr/>
        <w:t>In Gebrauch sind Einmal-Biopsiezangen (Single-use) die nach Untersuchungsende eines Patienten</w:t>
      </w:r>
      <w:r>
        <w:rPr>
          <w:spacing w:val="-53"/>
        </w:rPr>
        <w:t> </w:t>
      </w:r>
      <w:r>
        <w:rPr/>
        <w:t>verworfen</w:t>
      </w:r>
      <w:r>
        <w:rPr>
          <w:spacing w:val="-2"/>
        </w:rPr>
        <w:t> </w:t>
      </w:r>
      <w:r>
        <w:rPr/>
        <w:t>werden.</w:t>
      </w:r>
    </w:p>
    <w:p>
      <w:pPr>
        <w:pStyle w:val="BodyText"/>
        <w:spacing w:before="4"/>
        <w:rPr>
          <w:sz w:val="30"/>
        </w:rPr>
      </w:pPr>
    </w:p>
    <w:p>
      <w:pPr>
        <w:pStyle w:val="Heading2"/>
      </w:pPr>
      <w:r>
        <w:rPr/>
        <w:t>Jumbo-Biopsiezangen</w:t>
      </w:r>
    </w:p>
    <w:p>
      <w:pPr>
        <w:pStyle w:val="BodyText"/>
        <w:spacing w:line="360" w:lineRule="auto" w:before="116"/>
        <w:ind w:left="298" w:right="282"/>
      </w:pPr>
      <w:r>
        <w:rPr/>
        <w:t>In Gebrauch sind aufbereitbare Biopsiezangen die nach Untersuchungsende</w:t>
      </w:r>
      <w:r>
        <w:rPr>
          <w:spacing w:val="1"/>
        </w:rPr>
        <w:t> </w:t>
      </w:r>
      <w:r>
        <w:rPr/>
        <w:t>der Aufbereitung zugeführt</w:t>
      </w:r>
      <w:r>
        <w:rPr>
          <w:spacing w:val="1"/>
        </w:rPr>
        <w:t> </w:t>
      </w:r>
      <w:r>
        <w:rPr/>
        <w:t>werden. Die Zangen werden nach Untersuchungsende mit dem Endoskop (SAA 02) in den Eiweißreiniger</w:t>
      </w:r>
      <w:r>
        <w:rPr>
          <w:spacing w:val="-53"/>
        </w:rPr>
        <w:t> </w:t>
      </w:r>
      <w:r>
        <w:rPr/>
        <w:t>gelegt und einer oberflächlichen Reinigung unterzogen, mit besonderem Augenmerk auf Biopsiereste in</w:t>
      </w:r>
      <w:r>
        <w:rPr>
          <w:spacing w:val="1"/>
        </w:rPr>
        <w:t> </w:t>
      </w:r>
      <w:r>
        <w:rPr/>
        <w:t>der</w:t>
      </w:r>
      <w:r>
        <w:rPr>
          <w:spacing w:val="-1"/>
        </w:rPr>
        <w:t> </w:t>
      </w:r>
      <w:r>
        <w:rPr/>
        <w:t>Zange</w:t>
      </w:r>
      <w:r>
        <w:rPr>
          <w:spacing w:val="-1"/>
        </w:rPr>
        <w:t> </w:t>
      </w:r>
      <w:r>
        <w:rPr/>
        <w:t>welche entfernt</w:t>
      </w:r>
      <w:r>
        <w:rPr>
          <w:spacing w:val="1"/>
        </w:rPr>
        <w:t> </w:t>
      </w:r>
      <w:r>
        <w:rPr/>
        <w:t>werden müssen</w:t>
      </w:r>
      <w:r>
        <w:rPr>
          <w:spacing w:val="-1"/>
        </w:rPr>
        <w:t> </w:t>
      </w:r>
      <w:r>
        <w:rPr/>
        <w:t>(Bürste oder Pinzette).</w:t>
      </w:r>
    </w:p>
    <w:p>
      <w:pPr>
        <w:pStyle w:val="BodyText"/>
        <w:spacing w:line="357" w:lineRule="auto"/>
        <w:ind w:left="298" w:right="527"/>
      </w:pPr>
      <w:r>
        <w:rPr/>
        <w:t>Es erfolgt eine Sichtkontrolle der Instrumente auf optische Sauberkeit und Unversehrtheit. Instrumente,</w:t>
      </w:r>
      <w:r>
        <w:rPr>
          <w:spacing w:val="-54"/>
        </w:rPr>
        <w:t> </w:t>
      </w:r>
      <w:r>
        <w:rPr/>
        <w:t>die defekt</w:t>
      </w:r>
      <w:r>
        <w:rPr>
          <w:spacing w:val="-1"/>
        </w:rPr>
        <w:t> </w:t>
      </w:r>
      <w:r>
        <w:rPr/>
        <w:t>sind,</w:t>
      </w:r>
      <w:r>
        <w:rPr>
          <w:spacing w:val="-1"/>
        </w:rPr>
        <w:t> </w:t>
      </w:r>
      <w:r>
        <w:rPr/>
        <w:t>werden</w:t>
      </w:r>
      <w:r>
        <w:rPr>
          <w:spacing w:val="-2"/>
        </w:rPr>
        <w:t> </w:t>
      </w:r>
      <w:r>
        <w:rPr/>
        <w:t>zur</w:t>
      </w:r>
      <w:r>
        <w:rPr>
          <w:spacing w:val="2"/>
        </w:rPr>
        <w:t> </w:t>
      </w:r>
      <w:r>
        <w:rPr/>
        <w:t>Reparatur beiseitegelegt.</w:t>
      </w:r>
    </w:p>
    <w:p>
      <w:pPr>
        <w:pStyle w:val="BodyText"/>
        <w:spacing w:before="4"/>
        <w:ind w:left="298"/>
      </w:pPr>
      <w:r>
        <w:rPr/>
        <w:t>Nach</w:t>
      </w:r>
      <w:r>
        <w:rPr>
          <w:spacing w:val="-5"/>
        </w:rPr>
        <w:t> </w:t>
      </w:r>
      <w:r>
        <w:rPr/>
        <w:t>dieser</w:t>
      </w:r>
      <w:r>
        <w:rPr>
          <w:spacing w:val="-4"/>
        </w:rPr>
        <w:t> </w:t>
      </w:r>
      <w:r>
        <w:rPr/>
        <w:t>Vorreinigung werden</w:t>
      </w:r>
      <w:r>
        <w:rPr>
          <w:spacing w:val="-3"/>
        </w:rPr>
        <w:t> </w:t>
      </w:r>
      <w:r>
        <w:rPr/>
        <w:t>diese</w:t>
      </w:r>
      <w:r>
        <w:rPr>
          <w:spacing w:val="-5"/>
        </w:rPr>
        <w:t> </w:t>
      </w:r>
      <w:r>
        <w:rPr/>
        <w:t>Produkte,</w:t>
      </w:r>
      <w:r>
        <w:rPr>
          <w:spacing w:val="-5"/>
        </w:rPr>
        <w:t> </w:t>
      </w:r>
      <w:r>
        <w:rPr/>
        <w:t>locker</w:t>
      </w:r>
      <w:r>
        <w:rPr>
          <w:spacing w:val="-4"/>
        </w:rPr>
        <w:t> </w:t>
      </w:r>
      <w:r>
        <w:rPr/>
        <w:t>gerollt,</w:t>
      </w:r>
      <w:r>
        <w:rPr>
          <w:spacing w:val="-2"/>
        </w:rPr>
        <w:t> </w:t>
      </w:r>
      <w:r>
        <w:rPr/>
        <w:t>im</w:t>
      </w:r>
      <w:r>
        <w:rPr>
          <w:spacing w:val="-3"/>
        </w:rPr>
        <w:t> </w:t>
      </w:r>
      <w:r>
        <w:rPr/>
        <w:t>Kleinteilkörbchen</w:t>
      </w:r>
      <w:r>
        <w:rPr>
          <w:spacing w:val="-3"/>
        </w:rPr>
        <w:t> </w:t>
      </w:r>
      <w:r>
        <w:rPr/>
        <w:t>der</w:t>
      </w:r>
      <w:r>
        <w:rPr>
          <w:spacing w:val="-4"/>
        </w:rPr>
        <w:t> </w:t>
      </w:r>
      <w:r>
        <w:rPr/>
        <w:t>RGD-E</w:t>
      </w:r>
      <w:r>
        <w:rPr>
          <w:spacing w:val="-3"/>
        </w:rPr>
        <w:t> </w:t>
      </w:r>
      <w:r>
        <w:rPr/>
        <w:t>gelegt.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687" w:header="0" w:top="700" w:bottom="880" w:left="1120" w:right="840"/>
          <w:pgNumType w:start="1"/>
        </w:sectPr>
      </w:pPr>
    </w:p>
    <w:p>
      <w:pPr>
        <w:pStyle w:val="Heading2"/>
        <w:spacing w:before="82"/>
      </w:pPr>
      <w:r>
        <w:rPr/>
        <w:t>Polypektomieschlingen</w:t>
      </w:r>
    </w:p>
    <w:p>
      <w:pPr>
        <w:pStyle w:val="BodyText"/>
        <w:spacing w:before="115"/>
        <w:ind w:left="298"/>
      </w:pPr>
      <w:r>
        <w:rPr/>
        <w:t>Einmal-Polypektomieschlingen</w:t>
      </w:r>
      <w:r>
        <w:rPr>
          <w:spacing w:val="-6"/>
        </w:rPr>
        <w:t> </w:t>
      </w:r>
      <w:r>
        <w:rPr/>
        <w:t>(Single-use):</w:t>
      </w:r>
      <w:r>
        <w:rPr>
          <w:spacing w:val="-5"/>
        </w:rPr>
        <w:t> </w:t>
      </w:r>
      <w:r>
        <w:rPr/>
        <w:t>werden</w:t>
      </w:r>
      <w:r>
        <w:rPr>
          <w:spacing w:val="-3"/>
        </w:rPr>
        <w:t> </w:t>
      </w:r>
      <w:r>
        <w:rPr/>
        <w:t>nach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Gebrauch</w:t>
      </w:r>
      <w:r>
        <w:rPr>
          <w:spacing w:val="-5"/>
        </w:rPr>
        <w:t> </w:t>
      </w:r>
      <w:r>
        <w:rPr/>
        <w:t>verworfen.</w:t>
      </w:r>
    </w:p>
    <w:p>
      <w:pPr>
        <w:pStyle w:val="BodyText"/>
        <w:spacing w:line="360" w:lineRule="auto" w:before="114"/>
        <w:ind w:left="298" w:right="326"/>
      </w:pPr>
      <w:r>
        <w:rPr/>
        <w:t>Aufbereitbare Polypektomieschlingen: Diese werden nach Untersuchungsende der Aufbereitung</w:t>
      </w:r>
      <w:r>
        <w:rPr>
          <w:spacing w:val="1"/>
        </w:rPr>
        <w:t> </w:t>
      </w:r>
      <w:r>
        <w:rPr/>
        <w:t>zugeführt. Die Schlingen werden vom Handgriff getrennt, der Polypektomiedraht aus dem Führungstubus</w:t>
      </w:r>
      <w:r>
        <w:rPr>
          <w:spacing w:val="-53"/>
        </w:rPr>
        <w:t> </w:t>
      </w:r>
      <w:r>
        <w:rPr/>
        <w:t>entfernt und mit dem Endoskop (SAA 02) in Eiweißreiniger gelegt und einer oberflächlichen Reinigung</w:t>
      </w:r>
      <w:r>
        <w:rPr>
          <w:spacing w:val="1"/>
        </w:rPr>
        <w:t> </w:t>
      </w:r>
      <w:r>
        <w:rPr/>
        <w:t>unterzogen, Eventuelle Gewebereste müssen entfernt werden (Bürste oder Pinzette). Der Tubus wird</w:t>
      </w:r>
      <w:r>
        <w:rPr>
          <w:spacing w:val="1"/>
        </w:rPr>
        <w:t> </w:t>
      </w:r>
      <w:r>
        <w:rPr/>
        <w:t>mittels einer 10ml Spritze mit Eiweißlöser gespült um Verunreinigungen im Inneren zu lösen. Es erfolgt</w:t>
      </w:r>
      <w:r>
        <w:rPr>
          <w:spacing w:val="1"/>
        </w:rPr>
        <w:t> </w:t>
      </w:r>
      <w:r>
        <w:rPr/>
        <w:t>eine Sichtkontrolle der Instrumente auf optische Sauberkeit und Unversehrtheit. Instrumente, die defekt</w:t>
      </w:r>
      <w:r>
        <w:rPr>
          <w:spacing w:val="1"/>
        </w:rPr>
        <w:t> </w:t>
      </w:r>
      <w:r>
        <w:rPr/>
        <w:t>sind, werden zur Reparatur beiseitegelegt. Nach dieser Vorreinigung werden diese Produkte, locker</w:t>
      </w:r>
      <w:r>
        <w:rPr>
          <w:spacing w:val="1"/>
        </w:rPr>
        <w:t> </w:t>
      </w:r>
      <w:r>
        <w:rPr/>
        <w:t>gerollt, im Kleinteilkörbchen der RGD-E gelegt (Der Polypektomiedraht umschlingt hier locker den</w:t>
      </w:r>
      <w:r>
        <w:rPr>
          <w:spacing w:val="1"/>
        </w:rPr>
        <w:t> </w:t>
      </w:r>
      <w:r>
        <w:rPr/>
        <w:t>Führungstubus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gegenseitige</w:t>
      </w:r>
      <w:r>
        <w:rPr>
          <w:spacing w:val="-5"/>
        </w:rPr>
        <w:t> </w:t>
      </w:r>
      <w:r>
        <w:rPr/>
        <w:t>Zugehörigkeit</w:t>
      </w:r>
      <w:r>
        <w:rPr>
          <w:spacing w:val="-5"/>
        </w:rPr>
        <w:t> </w:t>
      </w:r>
      <w:r>
        <w:rPr/>
        <w:t>im</w:t>
      </w:r>
      <w:r>
        <w:rPr>
          <w:spacing w:val="-4"/>
        </w:rPr>
        <w:t> </w:t>
      </w:r>
      <w:r>
        <w:rPr/>
        <w:t>späteren</w:t>
      </w:r>
      <w:r>
        <w:rPr>
          <w:spacing w:val="-3"/>
        </w:rPr>
        <w:t> </w:t>
      </w:r>
      <w:r>
        <w:rPr/>
        <w:t>Verlauf</w:t>
      </w:r>
      <w:r>
        <w:rPr>
          <w:spacing w:val="-5"/>
        </w:rPr>
        <w:t> </w:t>
      </w:r>
      <w:r>
        <w:rPr/>
        <w:t>der</w:t>
      </w:r>
      <w:r>
        <w:rPr>
          <w:spacing w:val="-3"/>
        </w:rPr>
        <w:t> </w:t>
      </w:r>
      <w:r>
        <w:rPr/>
        <w:t>Aufbereitung</w:t>
      </w:r>
      <w:r>
        <w:rPr>
          <w:spacing w:val="-5"/>
        </w:rPr>
        <w:t> </w:t>
      </w:r>
      <w:r>
        <w:rPr/>
        <w:t>sicherzustellen).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</w:pPr>
      <w:r>
        <w:rPr/>
        <w:t>Polypengreifer</w:t>
      </w:r>
    </w:p>
    <w:p>
      <w:pPr>
        <w:pStyle w:val="BodyText"/>
        <w:spacing w:line="360" w:lineRule="auto" w:before="113"/>
        <w:ind w:left="298" w:right="292"/>
        <w:jc w:val="both"/>
      </w:pPr>
      <w:r>
        <w:rPr/>
        <w:t>In</w:t>
      </w:r>
      <w:r>
        <w:rPr>
          <w:spacing w:val="1"/>
        </w:rPr>
        <w:t> </w:t>
      </w:r>
      <w:r>
        <w:rPr/>
        <w:t>Gebrauch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aufbereitbare</w:t>
      </w:r>
      <w:r>
        <w:rPr>
          <w:spacing w:val="1"/>
        </w:rPr>
        <w:t> </w:t>
      </w:r>
      <w:r>
        <w:rPr/>
        <w:t>Polypengreifer,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Untersuchungsende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Patienten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Aufbereitung</w:t>
      </w:r>
      <w:r>
        <w:rPr>
          <w:spacing w:val="1"/>
        </w:rPr>
        <w:t> </w:t>
      </w:r>
      <w:r>
        <w:rPr/>
        <w:t>zugeführt</w:t>
      </w:r>
      <w:r>
        <w:rPr>
          <w:spacing w:val="1"/>
        </w:rPr>
        <w:t> </w:t>
      </w:r>
      <w:r>
        <w:rPr/>
        <w:t>werden.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Greifer</w:t>
      </w:r>
      <w:r>
        <w:rPr>
          <w:spacing w:val="1"/>
        </w:rPr>
        <w:t> </w:t>
      </w:r>
      <w:r>
        <w:rPr/>
        <w:t>werden</w:t>
      </w:r>
      <w:r>
        <w:rPr>
          <w:spacing w:val="1"/>
        </w:rPr>
        <w:t> </w:t>
      </w:r>
      <w:r>
        <w:rPr/>
        <w:t>nach</w:t>
      </w:r>
      <w:r>
        <w:rPr>
          <w:spacing w:val="1"/>
        </w:rPr>
        <w:t> </w:t>
      </w:r>
      <w:r>
        <w:rPr/>
        <w:t>Untersuchungsende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dem</w:t>
      </w:r>
      <w:r>
        <w:rPr>
          <w:spacing w:val="55"/>
        </w:rPr>
        <w:t> </w:t>
      </w:r>
      <w:r>
        <w:rPr/>
        <w:t>Endoskop</w:t>
      </w:r>
      <w:r>
        <w:rPr>
          <w:spacing w:val="1"/>
        </w:rPr>
        <w:t> </w:t>
      </w:r>
      <w:r>
        <w:rPr/>
        <w:t>(SAA02)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Eiweißreiniger</w:t>
      </w:r>
      <w:r>
        <w:rPr>
          <w:spacing w:val="1"/>
        </w:rPr>
        <w:t> </w:t>
      </w:r>
      <w:r>
        <w:rPr/>
        <w:t>gelegt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einer</w:t>
      </w:r>
      <w:r>
        <w:rPr>
          <w:spacing w:val="1"/>
        </w:rPr>
        <w:t> </w:t>
      </w:r>
      <w:r>
        <w:rPr/>
        <w:t>oberflächlichen</w:t>
      </w:r>
      <w:r>
        <w:rPr>
          <w:spacing w:val="1"/>
        </w:rPr>
        <w:t> </w:t>
      </w:r>
      <w:r>
        <w:rPr/>
        <w:t>Reinigung</w:t>
      </w:r>
      <w:r>
        <w:rPr>
          <w:spacing w:val="1"/>
        </w:rPr>
        <w:t> </w:t>
      </w:r>
      <w:r>
        <w:rPr/>
        <w:t>unterzogen,</w:t>
      </w:r>
      <w:r>
        <w:rPr>
          <w:spacing w:val="1"/>
        </w:rPr>
        <w:t> </w:t>
      </w:r>
      <w:r>
        <w:rPr/>
        <w:t>besonderes</w:t>
      </w:r>
      <w:r>
        <w:rPr>
          <w:spacing w:val="1"/>
        </w:rPr>
        <w:t> </w:t>
      </w:r>
      <w:r>
        <w:rPr/>
        <w:t>Augenmerk</w:t>
      </w:r>
      <w:r>
        <w:rPr>
          <w:spacing w:val="-3"/>
        </w:rPr>
        <w:t> </w:t>
      </w:r>
      <w:r>
        <w:rPr/>
        <w:t>auf</w:t>
      </w:r>
      <w:r>
        <w:rPr>
          <w:spacing w:val="-2"/>
        </w:rPr>
        <w:t> </w:t>
      </w:r>
      <w:r>
        <w:rPr/>
        <w:t>Biopsiereste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den</w:t>
      </w:r>
      <w:r>
        <w:rPr>
          <w:spacing w:val="-3"/>
        </w:rPr>
        <w:t> </w:t>
      </w:r>
      <w:r>
        <w:rPr/>
        <w:t>Greifarmen</w:t>
      </w:r>
      <w:r>
        <w:rPr>
          <w:spacing w:val="-4"/>
        </w:rPr>
        <w:t> </w:t>
      </w:r>
      <w:r>
        <w:rPr/>
        <w:t>welche</w:t>
      </w:r>
      <w:r>
        <w:rPr>
          <w:spacing w:val="-1"/>
        </w:rPr>
        <w:t> </w:t>
      </w:r>
      <w:r>
        <w:rPr/>
        <w:t>entfernt</w:t>
      </w:r>
      <w:r>
        <w:rPr>
          <w:spacing w:val="-4"/>
        </w:rPr>
        <w:t> </w:t>
      </w:r>
      <w:r>
        <w:rPr/>
        <w:t>werden</w:t>
      </w:r>
      <w:r>
        <w:rPr>
          <w:spacing w:val="-1"/>
        </w:rPr>
        <w:t> </w:t>
      </w:r>
      <w:r>
        <w:rPr/>
        <w:t>müssen</w:t>
      </w:r>
      <w:r>
        <w:rPr>
          <w:spacing w:val="-4"/>
        </w:rPr>
        <w:t> </w:t>
      </w:r>
      <w:r>
        <w:rPr/>
        <w:t>(Bürste</w:t>
      </w:r>
      <w:r>
        <w:rPr>
          <w:spacing w:val="-3"/>
        </w:rPr>
        <w:t> </w:t>
      </w:r>
      <w:r>
        <w:rPr/>
        <w:t>oder</w:t>
      </w:r>
      <w:r>
        <w:rPr>
          <w:spacing w:val="-1"/>
        </w:rPr>
        <w:t> </w:t>
      </w:r>
      <w:r>
        <w:rPr/>
        <w:t>Pinzette).</w:t>
      </w:r>
    </w:p>
    <w:p>
      <w:pPr>
        <w:pStyle w:val="BodyText"/>
        <w:spacing w:line="360" w:lineRule="auto" w:before="1"/>
        <w:ind w:left="298" w:right="293"/>
        <w:jc w:val="both"/>
      </w:pPr>
      <w:r>
        <w:rPr/>
        <w:t>Es erfolgt eine Sichtkontrolle der Instrumente auf optische Sauberkeit und Unversehrtheit. Instrumente,</w:t>
      </w:r>
      <w:r>
        <w:rPr>
          <w:spacing w:val="1"/>
        </w:rPr>
        <w:t> </w:t>
      </w:r>
      <w:r>
        <w:rPr/>
        <w:t>die defekt</w:t>
      </w:r>
      <w:r>
        <w:rPr>
          <w:spacing w:val="-1"/>
        </w:rPr>
        <w:t> </w:t>
      </w:r>
      <w:r>
        <w:rPr/>
        <w:t>sind,</w:t>
      </w:r>
      <w:r>
        <w:rPr>
          <w:spacing w:val="-1"/>
        </w:rPr>
        <w:t> </w:t>
      </w:r>
      <w:r>
        <w:rPr/>
        <w:t>werden</w:t>
      </w:r>
      <w:r>
        <w:rPr>
          <w:spacing w:val="-2"/>
        </w:rPr>
        <w:t> </w:t>
      </w:r>
      <w:r>
        <w:rPr/>
        <w:t>zur</w:t>
      </w:r>
      <w:r>
        <w:rPr>
          <w:spacing w:val="2"/>
        </w:rPr>
        <w:t> </w:t>
      </w:r>
      <w:r>
        <w:rPr/>
        <w:t>Reparatur beiseitegelegt</w:t>
      </w:r>
    </w:p>
    <w:p>
      <w:pPr>
        <w:pStyle w:val="BodyText"/>
        <w:spacing w:line="360" w:lineRule="auto" w:before="1"/>
        <w:ind w:left="298" w:right="291"/>
        <w:jc w:val="both"/>
      </w:pPr>
      <w:r>
        <w:rPr/>
        <w:t>Nach dieser Vorreinigung werden diese Produkte, locker gerollt, im Kleinteilkörbchen der RGD-E gelegt</w:t>
      </w:r>
      <w:r>
        <w:rPr>
          <w:spacing w:val="1"/>
        </w:rPr>
        <w:t> </w:t>
      </w:r>
      <w:r>
        <w:rPr/>
        <w:t>(Greifarme müssen</w:t>
      </w:r>
      <w:r>
        <w:rPr>
          <w:spacing w:val="1"/>
        </w:rPr>
        <w:t> </w:t>
      </w:r>
      <w:r>
        <w:rPr/>
        <w:t>dabei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weit</w:t>
      </w:r>
      <w:r>
        <w:rPr>
          <w:spacing w:val="-1"/>
        </w:rPr>
        <w:t> </w:t>
      </w:r>
      <w:r>
        <w:rPr/>
        <w:t>wie</w:t>
      </w:r>
      <w:r>
        <w:rPr>
          <w:spacing w:val="-2"/>
        </w:rPr>
        <w:t> </w:t>
      </w:r>
      <w:r>
        <w:rPr/>
        <w:t>möglich</w:t>
      </w:r>
      <w:r>
        <w:rPr>
          <w:spacing w:val="1"/>
        </w:rPr>
        <w:t> </w:t>
      </w:r>
      <w:r>
        <w:rPr/>
        <w:t>geöffnet</w:t>
      </w:r>
      <w:r>
        <w:rPr>
          <w:spacing w:val="1"/>
        </w:rPr>
        <w:t> </w:t>
      </w:r>
      <w:r>
        <w:rPr/>
        <w:t>sein).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Polypen-Netze</w:t>
      </w:r>
    </w:p>
    <w:p>
      <w:pPr>
        <w:pStyle w:val="BodyText"/>
        <w:spacing w:line="360" w:lineRule="auto" w:before="115"/>
        <w:ind w:left="297" w:right="694"/>
      </w:pPr>
      <w:r>
        <w:rPr/>
        <w:t>In Gebrauch sind Einmal-Netze (Single-use) die nach Untersuchungsende eines Patienten verworfen</w:t>
      </w:r>
      <w:r>
        <w:rPr>
          <w:spacing w:val="-53"/>
        </w:rPr>
        <w:t> </w:t>
      </w:r>
      <w:r>
        <w:rPr/>
        <w:t>werden.</w:t>
      </w:r>
    </w:p>
    <w:p>
      <w:pPr>
        <w:pStyle w:val="BodyText"/>
        <w:rPr>
          <w:sz w:val="30"/>
        </w:rPr>
      </w:pPr>
    </w:p>
    <w:p>
      <w:pPr>
        <w:pStyle w:val="Heading2"/>
        <w:ind w:left="297"/>
      </w:pPr>
      <w:r>
        <w:rPr/>
        <w:t>Abstrichbürsten</w:t>
      </w:r>
    </w:p>
    <w:p>
      <w:pPr>
        <w:pStyle w:val="BodyText"/>
        <w:spacing w:line="357" w:lineRule="auto" w:before="116"/>
        <w:ind w:left="297" w:right="505"/>
      </w:pPr>
      <w:r>
        <w:rPr/>
        <w:t>In Gebrauch sind Einmal-Abstrichbürsten (Single-use) die nach Untersuchungsende und Auftragen des</w:t>
      </w:r>
      <w:r>
        <w:rPr>
          <w:spacing w:val="-53"/>
        </w:rPr>
        <w:t> </w:t>
      </w:r>
      <w:r>
        <w:rPr/>
        <w:t>von</w:t>
      </w:r>
      <w:r>
        <w:rPr>
          <w:spacing w:val="-5"/>
        </w:rPr>
        <w:t> </w:t>
      </w:r>
      <w:r>
        <w:rPr/>
        <w:t>der</w:t>
      </w:r>
      <w:r>
        <w:rPr>
          <w:spacing w:val="-1"/>
        </w:rPr>
        <w:t> </w:t>
      </w:r>
      <w:r>
        <w:rPr/>
        <w:t>Bürste</w:t>
      </w:r>
      <w:r>
        <w:rPr>
          <w:spacing w:val="-4"/>
        </w:rPr>
        <w:t> </w:t>
      </w:r>
      <w:r>
        <w:rPr/>
        <w:t>aufgenommenen</w:t>
      </w:r>
      <w:r>
        <w:rPr>
          <w:spacing w:val="-2"/>
        </w:rPr>
        <w:t> </w:t>
      </w:r>
      <w:r>
        <w:rPr/>
        <w:t>Materials</w:t>
      </w:r>
      <w:r>
        <w:rPr>
          <w:spacing w:val="-4"/>
        </w:rPr>
        <w:t> </w:t>
      </w:r>
      <w:r>
        <w:rPr/>
        <w:t>auf</w:t>
      </w:r>
      <w:r>
        <w:rPr>
          <w:spacing w:val="-4"/>
        </w:rPr>
        <w:t> </w:t>
      </w:r>
      <w:r>
        <w:rPr/>
        <w:t>min.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Objektträger,</w:t>
      </w:r>
      <w:r>
        <w:rPr>
          <w:spacing w:val="-4"/>
        </w:rPr>
        <w:t> </w:t>
      </w:r>
      <w:r>
        <w:rPr/>
        <w:t>eines</w:t>
      </w:r>
      <w:r>
        <w:rPr>
          <w:spacing w:val="-1"/>
        </w:rPr>
        <w:t> </w:t>
      </w:r>
      <w:r>
        <w:rPr/>
        <w:t>Patienten</w:t>
      </w:r>
      <w:r>
        <w:rPr>
          <w:spacing w:val="-4"/>
        </w:rPr>
        <w:t> </w:t>
      </w:r>
      <w:r>
        <w:rPr/>
        <w:t>verworfen</w:t>
      </w:r>
      <w:r>
        <w:rPr>
          <w:spacing w:val="-4"/>
        </w:rPr>
        <w:t> </w:t>
      </w:r>
      <w:r>
        <w:rPr/>
        <w:t>werden.</w:t>
      </w:r>
    </w:p>
    <w:p>
      <w:pPr>
        <w:pStyle w:val="BodyText"/>
        <w:spacing w:before="4"/>
        <w:rPr>
          <w:sz w:val="30"/>
        </w:rPr>
      </w:pPr>
    </w:p>
    <w:p>
      <w:pPr>
        <w:pStyle w:val="Heading2"/>
        <w:ind w:left="297"/>
      </w:pPr>
      <w:r>
        <w:rPr/>
        <w:t>Endoclips</w:t>
      </w:r>
    </w:p>
    <w:p>
      <w:pPr>
        <w:pStyle w:val="BodyText"/>
        <w:spacing w:line="357" w:lineRule="auto" w:before="115"/>
        <w:ind w:left="297"/>
      </w:pPr>
      <w:r>
        <w:rPr/>
        <w:t>In</w:t>
      </w:r>
      <w:r>
        <w:rPr>
          <w:spacing w:val="2"/>
        </w:rPr>
        <w:t> </w:t>
      </w:r>
      <w:r>
        <w:rPr/>
        <w:t>Gebrauch</w:t>
      </w:r>
      <w:r>
        <w:rPr>
          <w:spacing w:val="2"/>
        </w:rPr>
        <w:t> </w:t>
      </w:r>
      <w:r>
        <w:rPr/>
        <w:t>sind</w:t>
      </w:r>
      <w:r>
        <w:rPr>
          <w:spacing w:val="2"/>
        </w:rPr>
        <w:t> </w:t>
      </w:r>
      <w:r>
        <w:rPr/>
        <w:t>Einmal-Endoclips</w:t>
      </w:r>
      <w:r>
        <w:rPr>
          <w:spacing w:val="2"/>
        </w:rPr>
        <w:t> </w:t>
      </w:r>
      <w:r>
        <w:rPr/>
        <w:t>(Single-use)</w:t>
      </w:r>
      <w:r>
        <w:rPr>
          <w:spacing w:val="6"/>
        </w:rPr>
        <w:t> </w:t>
      </w:r>
      <w:r>
        <w:rPr/>
        <w:t>die</w:t>
      </w:r>
      <w:r>
        <w:rPr>
          <w:spacing w:val="4"/>
        </w:rPr>
        <w:t> </w:t>
      </w:r>
      <w:r>
        <w:rPr/>
        <w:t>nach</w:t>
      </w:r>
      <w:r>
        <w:rPr>
          <w:spacing w:val="2"/>
        </w:rPr>
        <w:t> </w:t>
      </w:r>
      <w:r>
        <w:rPr/>
        <w:t>Untersuchungsende</w:t>
      </w:r>
      <w:r>
        <w:rPr>
          <w:spacing w:val="4"/>
        </w:rPr>
        <w:t> </w:t>
      </w:r>
      <w:r>
        <w:rPr/>
        <w:t>eines</w:t>
      </w:r>
      <w:r>
        <w:rPr>
          <w:spacing w:val="3"/>
        </w:rPr>
        <w:t> </w:t>
      </w:r>
      <w:r>
        <w:rPr/>
        <w:t>Patienten</w:t>
      </w:r>
      <w:r>
        <w:rPr>
          <w:spacing w:val="2"/>
        </w:rPr>
        <w:t> </w:t>
      </w:r>
      <w:r>
        <w:rPr/>
        <w:t>verworfen</w:t>
      </w:r>
      <w:r>
        <w:rPr>
          <w:spacing w:val="-53"/>
        </w:rPr>
        <w:t> </w:t>
      </w:r>
      <w:r>
        <w:rPr/>
        <w:t>werden.</w:t>
      </w:r>
    </w:p>
    <w:p>
      <w:pPr>
        <w:pStyle w:val="BodyText"/>
        <w:spacing w:line="360" w:lineRule="auto" w:before="4"/>
        <w:ind w:left="297"/>
      </w:pPr>
      <w:r>
        <w:rPr/>
        <w:t>Weiters</w:t>
      </w:r>
      <w:r>
        <w:rPr>
          <w:spacing w:val="49"/>
        </w:rPr>
        <w:t> </w:t>
      </w:r>
      <w:r>
        <w:rPr/>
        <w:t>In</w:t>
      </w:r>
      <w:r>
        <w:rPr>
          <w:spacing w:val="47"/>
        </w:rPr>
        <w:t> </w:t>
      </w:r>
      <w:r>
        <w:rPr/>
        <w:t>Gebrauch</w:t>
      </w:r>
      <w:r>
        <w:rPr>
          <w:spacing w:val="47"/>
        </w:rPr>
        <w:t> </w:t>
      </w:r>
      <w:r>
        <w:rPr/>
        <w:t>sind</w:t>
      </w:r>
      <w:r>
        <w:rPr>
          <w:spacing w:val="49"/>
        </w:rPr>
        <w:t> </w:t>
      </w:r>
      <w:r>
        <w:rPr/>
        <w:t>Clip-Applikatoren</w:t>
      </w:r>
      <w:r>
        <w:rPr>
          <w:spacing w:val="49"/>
        </w:rPr>
        <w:t> </w:t>
      </w:r>
      <w:r>
        <w:rPr/>
        <w:t>der</w:t>
      </w:r>
      <w:r>
        <w:rPr>
          <w:spacing w:val="48"/>
        </w:rPr>
        <w:t> </w:t>
      </w:r>
      <w:r>
        <w:rPr/>
        <w:t>Firma</w:t>
      </w:r>
      <w:r>
        <w:rPr>
          <w:spacing w:val="47"/>
        </w:rPr>
        <w:t> </w:t>
      </w:r>
      <w:r>
        <w:rPr/>
        <w:t>Olympus</w:t>
      </w:r>
      <w:r>
        <w:rPr>
          <w:spacing w:val="49"/>
        </w:rPr>
        <w:t> </w:t>
      </w:r>
      <w:r>
        <w:rPr/>
        <w:t>die</w:t>
      </w:r>
      <w:r>
        <w:rPr>
          <w:spacing w:val="47"/>
        </w:rPr>
        <w:t> </w:t>
      </w:r>
      <w:r>
        <w:rPr/>
        <w:t>nach</w:t>
      </w:r>
      <w:r>
        <w:rPr>
          <w:spacing w:val="47"/>
        </w:rPr>
        <w:t> </w:t>
      </w:r>
      <w:r>
        <w:rPr/>
        <w:t>Untersuchungsende</w:t>
      </w:r>
      <w:r>
        <w:rPr>
          <w:spacing w:val="49"/>
        </w:rPr>
        <w:t> </w:t>
      </w:r>
      <w:r>
        <w:rPr/>
        <w:t>eines</w:t>
      </w:r>
      <w:r>
        <w:rPr>
          <w:spacing w:val="-52"/>
        </w:rPr>
        <w:t> </w:t>
      </w:r>
      <w:r>
        <w:rPr/>
        <w:t>Patienten der</w:t>
      </w:r>
      <w:r>
        <w:rPr>
          <w:spacing w:val="1"/>
        </w:rPr>
        <w:t> </w:t>
      </w:r>
      <w:r>
        <w:rPr/>
        <w:t>Wiederaufbereitung</w:t>
      </w:r>
      <w:r>
        <w:rPr>
          <w:spacing w:val="-2"/>
        </w:rPr>
        <w:t> </w:t>
      </w:r>
      <w:r>
        <w:rPr/>
        <w:t>zugeführt</w:t>
      </w:r>
      <w:r>
        <w:rPr>
          <w:spacing w:val="-2"/>
        </w:rPr>
        <w:t> </w:t>
      </w:r>
      <w:r>
        <w:rPr/>
        <w:t>werden(siehe</w:t>
      </w:r>
      <w:r>
        <w:rPr>
          <w:spacing w:val="-1"/>
        </w:rPr>
        <w:t> </w:t>
      </w:r>
      <w:r>
        <w:rPr/>
        <w:t>Jumbo-Biopsiezangen).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  <w:ind w:left="297"/>
      </w:pPr>
      <w:r>
        <w:rPr/>
        <w:t>Sprühkatheder</w:t>
      </w:r>
      <w:r>
        <w:rPr>
          <w:spacing w:val="-8"/>
        </w:rPr>
        <w:t> </w:t>
      </w:r>
      <w:r>
        <w:rPr/>
        <w:t>&amp;</w:t>
      </w:r>
      <w:r>
        <w:rPr>
          <w:spacing w:val="-3"/>
        </w:rPr>
        <w:t> </w:t>
      </w:r>
      <w:r>
        <w:rPr/>
        <w:t>Argonbeamersonde</w:t>
      </w:r>
    </w:p>
    <w:p>
      <w:pPr>
        <w:pStyle w:val="BodyText"/>
        <w:spacing w:line="360" w:lineRule="auto" w:before="116"/>
        <w:ind w:left="297" w:right="309"/>
        <w:jc w:val="both"/>
      </w:pPr>
      <w:r>
        <w:rPr/>
        <w:t>In Verwendung sind aufbereitbare Sprühkatheder und Argonbeamersonden die nach Untersuchungsende</w:t>
      </w:r>
      <w:r>
        <w:rPr>
          <w:spacing w:val="-53"/>
        </w:rPr>
        <w:t> </w:t>
      </w:r>
      <w:r>
        <w:rPr/>
        <w:t>eines</w:t>
      </w:r>
      <w:r>
        <w:rPr>
          <w:spacing w:val="-2"/>
        </w:rPr>
        <w:t> </w:t>
      </w:r>
      <w:r>
        <w:rPr/>
        <w:t>Patienten</w:t>
      </w:r>
      <w:r>
        <w:rPr>
          <w:spacing w:val="-2"/>
        </w:rPr>
        <w:t> </w:t>
      </w:r>
      <w:r>
        <w:rPr/>
        <w:t>der</w:t>
      </w:r>
      <w:r>
        <w:rPr>
          <w:spacing w:val="1"/>
        </w:rPr>
        <w:t> </w:t>
      </w:r>
      <w:r>
        <w:rPr/>
        <w:t>Wiederaufbereitung</w:t>
      </w:r>
      <w:r>
        <w:rPr>
          <w:spacing w:val="-1"/>
        </w:rPr>
        <w:t> </w:t>
      </w:r>
      <w:r>
        <w:rPr/>
        <w:t>zugeführt</w:t>
      </w:r>
      <w:r>
        <w:rPr>
          <w:spacing w:val="-2"/>
        </w:rPr>
        <w:t> </w:t>
      </w:r>
      <w:r>
        <w:rPr/>
        <w:t>werden</w:t>
      </w:r>
      <w:r>
        <w:rPr>
          <w:spacing w:val="-2"/>
        </w:rPr>
        <w:t> </w:t>
      </w:r>
      <w:r>
        <w:rPr/>
        <w:t>(siehe</w:t>
      </w:r>
      <w:r>
        <w:rPr>
          <w:spacing w:val="-1"/>
        </w:rPr>
        <w:t> </w:t>
      </w:r>
      <w:r>
        <w:rPr/>
        <w:t>Polyektomieschlingen)</w:t>
      </w:r>
    </w:p>
    <w:p>
      <w:pPr>
        <w:spacing w:after="0" w:line="360" w:lineRule="auto"/>
        <w:jc w:val="both"/>
        <w:sectPr>
          <w:pgSz w:w="11910" w:h="16840"/>
          <w:pgMar w:header="0" w:footer="687" w:top="1320" w:bottom="880" w:left="1120" w:right="840"/>
        </w:sectPr>
      </w:pPr>
    </w:p>
    <w:p>
      <w:pPr>
        <w:pStyle w:val="Heading2"/>
        <w:spacing w:before="82"/>
      </w:pPr>
      <w:r>
        <w:rPr/>
        <w:t>Endocuff</w:t>
      </w:r>
    </w:p>
    <w:p>
      <w:pPr>
        <w:pStyle w:val="BodyText"/>
        <w:spacing w:line="357" w:lineRule="auto" w:before="115"/>
        <w:ind w:left="298" w:right="1049"/>
      </w:pPr>
      <w:r>
        <w:rPr/>
        <w:t>In Verwendung sind Einmal-Endocuffs (single-use) die nach Untersuchungsende eines Patienten</w:t>
      </w:r>
      <w:r>
        <w:rPr>
          <w:spacing w:val="-53"/>
        </w:rPr>
        <w:t> </w:t>
      </w:r>
      <w:r>
        <w:rPr/>
        <w:t>verworfen</w:t>
      </w:r>
      <w:r>
        <w:rPr>
          <w:spacing w:val="-2"/>
        </w:rPr>
        <w:t> </w:t>
      </w:r>
      <w:r>
        <w:rPr/>
        <w:t>werden.</w:t>
      </w:r>
    </w:p>
    <w:sectPr>
      <w:pgSz w:w="11910" w:h="16840"/>
      <w:pgMar w:header="0" w:footer="687" w:top="1320" w:bottom="880" w:left="11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76495pt;margin-top:796.441589pt;width:48.85pt;height:11pt;mso-position-horizontal-relative:page;mso-position-vertical-relative:page;z-index:-15806464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Seite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von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8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de-at" w:eastAsia="en-US" w:bidi="ar-SA"/>
      </w:rPr>
    </w:lvl>
    <w:lvl w:ilvl="1">
      <w:start w:val="0"/>
      <w:numFmt w:val="bullet"/>
      <w:lvlText w:val="•"/>
      <w:lvlJc w:val="left"/>
      <w:pPr>
        <w:ind w:left="1516" w:hanging="284"/>
      </w:pPr>
      <w:rPr>
        <w:rFonts w:hint="default"/>
        <w:lang w:val="de-at" w:eastAsia="en-US" w:bidi="ar-SA"/>
      </w:rPr>
    </w:lvl>
    <w:lvl w:ilvl="2">
      <w:start w:val="0"/>
      <w:numFmt w:val="bullet"/>
      <w:lvlText w:val="•"/>
      <w:lvlJc w:val="left"/>
      <w:pPr>
        <w:ind w:left="2452" w:hanging="284"/>
      </w:pPr>
      <w:rPr>
        <w:rFonts w:hint="default"/>
        <w:lang w:val="de-at" w:eastAsia="en-US" w:bidi="ar-SA"/>
      </w:rPr>
    </w:lvl>
    <w:lvl w:ilvl="3">
      <w:start w:val="0"/>
      <w:numFmt w:val="bullet"/>
      <w:lvlText w:val="•"/>
      <w:lvlJc w:val="left"/>
      <w:pPr>
        <w:ind w:left="3389" w:hanging="284"/>
      </w:pPr>
      <w:rPr>
        <w:rFonts w:hint="default"/>
        <w:lang w:val="de-at" w:eastAsia="en-US" w:bidi="ar-SA"/>
      </w:rPr>
    </w:lvl>
    <w:lvl w:ilvl="4">
      <w:start w:val="0"/>
      <w:numFmt w:val="bullet"/>
      <w:lvlText w:val="•"/>
      <w:lvlJc w:val="left"/>
      <w:pPr>
        <w:ind w:left="4325" w:hanging="284"/>
      </w:pPr>
      <w:rPr>
        <w:rFonts w:hint="default"/>
        <w:lang w:val="de-at" w:eastAsia="en-US" w:bidi="ar-SA"/>
      </w:rPr>
    </w:lvl>
    <w:lvl w:ilvl="5">
      <w:start w:val="0"/>
      <w:numFmt w:val="bullet"/>
      <w:lvlText w:val="•"/>
      <w:lvlJc w:val="left"/>
      <w:pPr>
        <w:ind w:left="5262" w:hanging="284"/>
      </w:pPr>
      <w:rPr>
        <w:rFonts w:hint="default"/>
        <w:lang w:val="de-at" w:eastAsia="en-US" w:bidi="ar-SA"/>
      </w:rPr>
    </w:lvl>
    <w:lvl w:ilvl="6">
      <w:start w:val="0"/>
      <w:numFmt w:val="bullet"/>
      <w:lvlText w:val="•"/>
      <w:lvlJc w:val="left"/>
      <w:pPr>
        <w:ind w:left="6198" w:hanging="284"/>
      </w:pPr>
      <w:rPr>
        <w:rFonts w:hint="default"/>
        <w:lang w:val="de-at" w:eastAsia="en-US" w:bidi="ar-SA"/>
      </w:rPr>
    </w:lvl>
    <w:lvl w:ilvl="7">
      <w:start w:val="0"/>
      <w:numFmt w:val="bullet"/>
      <w:lvlText w:val="•"/>
      <w:lvlJc w:val="left"/>
      <w:pPr>
        <w:ind w:left="7134" w:hanging="284"/>
      </w:pPr>
      <w:rPr>
        <w:rFonts w:hint="default"/>
        <w:lang w:val="de-at" w:eastAsia="en-US" w:bidi="ar-SA"/>
      </w:rPr>
    </w:lvl>
    <w:lvl w:ilvl="8">
      <w:start w:val="0"/>
      <w:numFmt w:val="bullet"/>
      <w:lvlText w:val="•"/>
      <w:lvlJc w:val="left"/>
      <w:pPr>
        <w:ind w:left="8071" w:hanging="284"/>
      </w:pPr>
      <w:rPr>
        <w:rFonts w:hint="default"/>
        <w:lang w:val="de-a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30" w:hanging="432"/>
        <w:jc w:val="left"/>
      </w:pPr>
      <w:rPr>
        <w:rFonts w:hint="default"/>
        <w:w w:val="100"/>
        <w:lang w:val="de-at" w:eastAsia="en-US" w:bidi="ar-SA"/>
      </w:rPr>
    </w:lvl>
    <w:lvl w:ilvl="1">
      <w:start w:val="0"/>
      <w:numFmt w:val="bullet"/>
      <w:lvlText w:val="•"/>
      <w:lvlJc w:val="left"/>
      <w:pPr>
        <w:ind w:left="1660" w:hanging="432"/>
      </w:pPr>
      <w:rPr>
        <w:rFonts w:hint="default"/>
        <w:lang w:val="de-at" w:eastAsia="en-US" w:bidi="ar-SA"/>
      </w:rPr>
    </w:lvl>
    <w:lvl w:ilvl="2">
      <w:start w:val="0"/>
      <w:numFmt w:val="bullet"/>
      <w:lvlText w:val="•"/>
      <w:lvlJc w:val="left"/>
      <w:pPr>
        <w:ind w:left="2580" w:hanging="432"/>
      </w:pPr>
      <w:rPr>
        <w:rFonts w:hint="default"/>
        <w:lang w:val="de-at" w:eastAsia="en-US" w:bidi="ar-SA"/>
      </w:rPr>
    </w:lvl>
    <w:lvl w:ilvl="3">
      <w:start w:val="0"/>
      <w:numFmt w:val="bullet"/>
      <w:lvlText w:val="•"/>
      <w:lvlJc w:val="left"/>
      <w:pPr>
        <w:ind w:left="3501" w:hanging="432"/>
      </w:pPr>
      <w:rPr>
        <w:rFonts w:hint="default"/>
        <w:lang w:val="de-at" w:eastAsia="en-US" w:bidi="ar-SA"/>
      </w:rPr>
    </w:lvl>
    <w:lvl w:ilvl="4">
      <w:start w:val="0"/>
      <w:numFmt w:val="bullet"/>
      <w:lvlText w:val="•"/>
      <w:lvlJc w:val="left"/>
      <w:pPr>
        <w:ind w:left="4421" w:hanging="432"/>
      </w:pPr>
      <w:rPr>
        <w:rFonts w:hint="default"/>
        <w:lang w:val="de-at" w:eastAsia="en-US" w:bidi="ar-SA"/>
      </w:rPr>
    </w:lvl>
    <w:lvl w:ilvl="5">
      <w:start w:val="0"/>
      <w:numFmt w:val="bullet"/>
      <w:lvlText w:val="•"/>
      <w:lvlJc w:val="left"/>
      <w:pPr>
        <w:ind w:left="5342" w:hanging="432"/>
      </w:pPr>
      <w:rPr>
        <w:rFonts w:hint="default"/>
        <w:lang w:val="de-at" w:eastAsia="en-US" w:bidi="ar-SA"/>
      </w:rPr>
    </w:lvl>
    <w:lvl w:ilvl="6">
      <w:start w:val="0"/>
      <w:numFmt w:val="bullet"/>
      <w:lvlText w:val="•"/>
      <w:lvlJc w:val="left"/>
      <w:pPr>
        <w:ind w:left="6262" w:hanging="432"/>
      </w:pPr>
      <w:rPr>
        <w:rFonts w:hint="default"/>
        <w:lang w:val="de-at" w:eastAsia="en-US" w:bidi="ar-SA"/>
      </w:rPr>
    </w:lvl>
    <w:lvl w:ilvl="7">
      <w:start w:val="0"/>
      <w:numFmt w:val="bullet"/>
      <w:lvlText w:val="•"/>
      <w:lvlJc w:val="left"/>
      <w:pPr>
        <w:ind w:left="7182" w:hanging="432"/>
      </w:pPr>
      <w:rPr>
        <w:rFonts w:hint="default"/>
        <w:lang w:val="de-at" w:eastAsia="en-US" w:bidi="ar-SA"/>
      </w:rPr>
    </w:lvl>
    <w:lvl w:ilvl="8">
      <w:start w:val="0"/>
      <w:numFmt w:val="bullet"/>
      <w:lvlText w:val="•"/>
      <w:lvlJc w:val="left"/>
      <w:pPr>
        <w:ind w:left="8103" w:hanging="432"/>
      </w:pPr>
      <w:rPr>
        <w:rFonts w:hint="default"/>
        <w:lang w:val="de-a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a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at" w:eastAsia="en-US" w:bidi="ar-SA"/>
    </w:rPr>
  </w:style>
  <w:style w:styleId="Heading1" w:type="paragraph">
    <w:name w:val="Heading 1"/>
    <w:basedOn w:val="Normal"/>
    <w:uiPriority w:val="1"/>
    <w:qFormat/>
    <w:pPr>
      <w:ind w:left="730" w:hanging="433"/>
      <w:outlineLvl w:val="1"/>
    </w:pPr>
    <w:rPr>
      <w:rFonts w:ascii="Arial" w:hAnsi="Arial" w:eastAsia="Arial" w:cs="Arial"/>
      <w:b/>
      <w:bCs/>
      <w:sz w:val="22"/>
      <w:szCs w:val="22"/>
      <w:lang w:val="de-at" w:eastAsia="en-US" w:bidi="ar-SA"/>
    </w:rPr>
  </w:style>
  <w:style w:styleId="Heading2" w:type="paragraph">
    <w:name w:val="Heading 2"/>
    <w:basedOn w:val="Normal"/>
    <w:uiPriority w:val="1"/>
    <w:qFormat/>
    <w:pPr>
      <w:ind w:left="298"/>
      <w:outlineLvl w:val="2"/>
    </w:pPr>
    <w:rPr>
      <w:rFonts w:ascii="Arial" w:hAnsi="Arial" w:eastAsia="Arial" w:cs="Arial"/>
      <w:b/>
      <w:bCs/>
      <w:sz w:val="20"/>
      <w:szCs w:val="20"/>
      <w:lang w:val="de-at" w:eastAsia="en-US" w:bidi="ar-SA"/>
    </w:rPr>
  </w:style>
  <w:style w:styleId="ListParagraph" w:type="paragraph">
    <w:name w:val="List Paragraph"/>
    <w:basedOn w:val="Normal"/>
    <w:uiPriority w:val="1"/>
    <w:qFormat/>
    <w:pPr>
      <w:ind w:left="730" w:hanging="433"/>
    </w:pPr>
    <w:rPr>
      <w:rFonts w:ascii="Arial" w:hAnsi="Arial" w:eastAsia="Arial" w:cs="Arial"/>
      <w:lang w:val="de-at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de-a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dc:title>Muster-SOP</dc:title>
  <dcterms:created xsi:type="dcterms:W3CDTF">2021-06-04T16:27:33Z</dcterms:created>
  <dcterms:modified xsi:type="dcterms:W3CDTF">2021-06-04T16:27:33Z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2021-06-04T00:00:00Z</vt:filetime>
  </property>
</Properties>
</file>