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2C15" w14:textId="77777777" w:rsidR="001800FA" w:rsidRDefault="00D006B8">
      <w:pPr>
        <w:pStyle w:val="Textkrper"/>
        <w:ind w:left="9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8EDA8B2">
          <v:group id="_x0000_s1026" style="width:488.2pt;height:84pt;mso-position-horizontal-relative:char;mso-position-vertical-relative:line" coordsize="9764,16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01;top:21;width:6840;height:1637" filled="f" strokeweight="2.16pt">
              <v:textbox inset="0,0,0,0">
                <w:txbxContent>
                  <w:p w14:paraId="3876B17F" w14:textId="77777777" w:rsidR="001800FA" w:rsidRDefault="001800FA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3C841F3E" w14:textId="77777777" w:rsidR="001800FA" w:rsidRDefault="001800FA">
                    <w:pPr>
                      <w:spacing w:before="4"/>
                      <w:rPr>
                        <w:rFonts w:ascii="Times New Roman"/>
                        <w:sz w:val="25"/>
                      </w:rPr>
                    </w:pPr>
                  </w:p>
                  <w:p w14:paraId="33AF59A7" w14:textId="77777777" w:rsidR="001800FA" w:rsidRDefault="00D006B8">
                    <w:pPr>
                      <w:ind w:left="2078" w:right="207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SAA 04 – Ultraschallbad</w:t>
                    </w:r>
                  </w:p>
                </w:txbxContent>
              </v:textbox>
            </v:shape>
            <v:shape id="_x0000_s1027" type="#_x0000_t202" style="position:absolute;left:21;top:21;width:2880;height:1637" filled="f" strokeweight="2.16pt">
              <v:textbox inset="0,0,0,0">
                <w:txbxContent>
                  <w:p w14:paraId="04E9ABE8" w14:textId="77777777" w:rsidR="001800FA" w:rsidRDefault="001800FA">
                    <w:pPr>
                      <w:rPr>
                        <w:rFonts w:ascii="Times New Roman"/>
                        <w:sz w:val="24"/>
                      </w:rPr>
                    </w:pPr>
                  </w:p>
                  <w:p w14:paraId="13749350" w14:textId="77777777" w:rsidR="001800FA" w:rsidRDefault="001800FA">
                    <w:pPr>
                      <w:rPr>
                        <w:rFonts w:ascii="Times New Roman"/>
                        <w:sz w:val="29"/>
                      </w:rPr>
                    </w:pPr>
                  </w:p>
                  <w:p w14:paraId="7A442818" w14:textId="7E44A2D3" w:rsidR="001800FA" w:rsidRDefault="00D006B8">
                    <w:pPr>
                      <w:ind w:left="47"/>
                      <w:rPr>
                        <w:b/>
                      </w:rPr>
                    </w:pPr>
                    <w:r>
                      <w:rPr>
                        <w:b/>
                      </w:rPr>
                      <w:t>Ordination Dr. NN</w:t>
                    </w:r>
                  </w:p>
                </w:txbxContent>
              </v:textbox>
            </v:shape>
            <w10:anchorlock/>
          </v:group>
        </w:pict>
      </w:r>
    </w:p>
    <w:p w14:paraId="248B0283" w14:textId="77777777" w:rsidR="001800FA" w:rsidRDefault="001800FA">
      <w:pPr>
        <w:pStyle w:val="Textkrper"/>
        <w:spacing w:before="8"/>
        <w:rPr>
          <w:rFonts w:ascii="Times New Roman"/>
          <w:sz w:val="2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40"/>
        <w:gridCol w:w="1416"/>
        <w:gridCol w:w="3403"/>
      </w:tblGrid>
      <w:tr w:rsidR="001800FA" w14:paraId="3BCF744E" w14:textId="77777777">
        <w:trPr>
          <w:trHeight w:val="371"/>
        </w:trPr>
        <w:tc>
          <w:tcPr>
            <w:tcW w:w="1582" w:type="dxa"/>
          </w:tcPr>
          <w:p w14:paraId="03EC301D" w14:textId="77777777" w:rsidR="001800FA" w:rsidRDefault="00D006B8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Erstellt:</w:t>
            </w:r>
          </w:p>
        </w:tc>
        <w:tc>
          <w:tcPr>
            <w:tcW w:w="3240" w:type="dxa"/>
          </w:tcPr>
          <w:p w14:paraId="16FE77D1" w14:textId="63242C0C" w:rsidR="001800FA" w:rsidRDefault="00D006B8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NN</w:t>
            </w:r>
          </w:p>
        </w:tc>
        <w:tc>
          <w:tcPr>
            <w:tcW w:w="1416" w:type="dxa"/>
          </w:tcPr>
          <w:p w14:paraId="3B475801" w14:textId="77777777" w:rsidR="001800FA" w:rsidRDefault="00D006B8"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3B07F85A" w14:textId="77777777" w:rsidR="001800FA" w:rsidRDefault="001800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00FA" w14:paraId="427205A2" w14:textId="77777777">
        <w:trPr>
          <w:trHeight w:val="335"/>
        </w:trPr>
        <w:tc>
          <w:tcPr>
            <w:tcW w:w="1582" w:type="dxa"/>
          </w:tcPr>
          <w:p w14:paraId="20ADA57C" w14:textId="77777777" w:rsidR="001800FA" w:rsidRDefault="00D006B8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Freigegeben:</w:t>
            </w:r>
          </w:p>
        </w:tc>
        <w:tc>
          <w:tcPr>
            <w:tcW w:w="3240" w:type="dxa"/>
          </w:tcPr>
          <w:p w14:paraId="40B25506" w14:textId="100F14C0" w:rsidR="001800FA" w:rsidRDefault="00D006B8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Dr. NN</w:t>
            </w:r>
          </w:p>
        </w:tc>
        <w:tc>
          <w:tcPr>
            <w:tcW w:w="1416" w:type="dxa"/>
          </w:tcPr>
          <w:p w14:paraId="14748BE4" w14:textId="77777777" w:rsidR="001800FA" w:rsidRDefault="00D006B8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Unterschrift:</w:t>
            </w:r>
          </w:p>
        </w:tc>
        <w:tc>
          <w:tcPr>
            <w:tcW w:w="3403" w:type="dxa"/>
          </w:tcPr>
          <w:p w14:paraId="562772F5" w14:textId="77777777" w:rsidR="001800FA" w:rsidRDefault="001800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00FA" w14:paraId="256D7181" w14:textId="77777777">
        <w:trPr>
          <w:trHeight w:val="340"/>
        </w:trPr>
        <w:tc>
          <w:tcPr>
            <w:tcW w:w="1582" w:type="dxa"/>
          </w:tcPr>
          <w:p w14:paraId="2B4EEF85" w14:textId="77777777" w:rsidR="001800FA" w:rsidRDefault="00D006B8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Gültig ab:</w:t>
            </w:r>
          </w:p>
        </w:tc>
        <w:tc>
          <w:tcPr>
            <w:tcW w:w="3240" w:type="dxa"/>
          </w:tcPr>
          <w:p w14:paraId="0E4788BA" w14:textId="77777777" w:rsidR="001800FA" w:rsidRDefault="00D006B8"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August 2019</w:t>
            </w:r>
          </w:p>
        </w:tc>
        <w:tc>
          <w:tcPr>
            <w:tcW w:w="1416" w:type="dxa"/>
          </w:tcPr>
          <w:p w14:paraId="6954FF04" w14:textId="77777777" w:rsidR="001800FA" w:rsidRDefault="001800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7CC8262C" w14:textId="77777777" w:rsidR="001800FA" w:rsidRDefault="001800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2A81DBA" w14:textId="77777777" w:rsidR="001800FA" w:rsidRDefault="001800FA">
      <w:pPr>
        <w:pStyle w:val="Textkrper"/>
        <w:spacing w:before="2"/>
        <w:rPr>
          <w:rFonts w:ascii="Times New Roman"/>
          <w:sz w:val="24"/>
        </w:rPr>
      </w:pPr>
    </w:p>
    <w:p w14:paraId="36896DCB" w14:textId="77777777" w:rsidR="001800FA" w:rsidRDefault="00D006B8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94"/>
        <w:ind w:hanging="433"/>
      </w:pPr>
      <w:r>
        <w:t>Zweck</w:t>
      </w:r>
    </w:p>
    <w:p w14:paraId="5145DD16" w14:textId="77777777" w:rsidR="001800FA" w:rsidRDefault="001800FA">
      <w:pPr>
        <w:pStyle w:val="Textkrper"/>
        <w:spacing w:before="4"/>
        <w:rPr>
          <w:b/>
          <w:sz w:val="21"/>
        </w:rPr>
      </w:pPr>
    </w:p>
    <w:p w14:paraId="003F74C1" w14:textId="77777777" w:rsidR="001800FA" w:rsidRDefault="00D006B8">
      <w:pPr>
        <w:pStyle w:val="Textkrper"/>
        <w:spacing w:line="360" w:lineRule="auto"/>
        <w:ind w:left="298" w:right="662"/>
      </w:pPr>
      <w:r>
        <w:t>Hygienisch richtiger Umgang mit dem Ultraschallbad, bei der Aufbereitung der PE – Zangen, Greifern Polypektomieschlingen, Pinzetten, Scheren, Zangen und Klammernentferner</w:t>
      </w:r>
    </w:p>
    <w:p w14:paraId="1D6EC8D6" w14:textId="77777777" w:rsidR="001800FA" w:rsidRDefault="001800FA">
      <w:pPr>
        <w:pStyle w:val="Textkrper"/>
        <w:spacing w:before="5"/>
        <w:rPr>
          <w:sz w:val="31"/>
        </w:rPr>
      </w:pPr>
    </w:p>
    <w:p w14:paraId="3E1B807A" w14:textId="77777777" w:rsidR="001800FA" w:rsidRDefault="00D006B8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Verantwortlichkeiten</w:t>
      </w:r>
    </w:p>
    <w:p w14:paraId="401C9C2A" w14:textId="77777777" w:rsidR="001800FA" w:rsidRDefault="001800FA">
      <w:pPr>
        <w:pStyle w:val="Textkrper"/>
        <w:spacing w:before="4"/>
        <w:rPr>
          <w:b/>
          <w:sz w:val="21"/>
        </w:rPr>
      </w:pPr>
    </w:p>
    <w:p w14:paraId="249FDAEA" w14:textId="77777777" w:rsidR="001800FA" w:rsidRDefault="00D006B8">
      <w:pPr>
        <w:pStyle w:val="Textkrper"/>
        <w:spacing w:before="1"/>
        <w:ind w:left="298"/>
      </w:pPr>
      <w:r>
        <w:t>Mitarbeiter/innen in der Aufbereitung, die die erforderliche Ausbildung, Kenntnis und Erfahrung haben</w:t>
      </w:r>
    </w:p>
    <w:p w14:paraId="239E0CD0" w14:textId="77777777" w:rsidR="001800FA" w:rsidRDefault="001800FA">
      <w:pPr>
        <w:pStyle w:val="Textkrper"/>
        <w:rPr>
          <w:sz w:val="22"/>
        </w:rPr>
      </w:pPr>
    </w:p>
    <w:p w14:paraId="015E5E2F" w14:textId="77777777" w:rsidR="001800FA" w:rsidRDefault="001800FA">
      <w:pPr>
        <w:pStyle w:val="Textkrper"/>
        <w:spacing w:before="9"/>
        <w:rPr>
          <w:sz w:val="29"/>
        </w:rPr>
      </w:pPr>
    </w:p>
    <w:p w14:paraId="1C4FE3A7" w14:textId="77777777" w:rsidR="001800FA" w:rsidRDefault="00D006B8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Verwendetes</w:t>
      </w:r>
      <w:r>
        <w:rPr>
          <w:spacing w:val="-5"/>
        </w:rPr>
        <w:t xml:space="preserve"> </w:t>
      </w:r>
      <w:r>
        <w:t>Material</w:t>
      </w:r>
    </w:p>
    <w:p w14:paraId="3FDD4873" w14:textId="77777777" w:rsidR="001800FA" w:rsidRDefault="001800FA">
      <w:pPr>
        <w:pStyle w:val="Textkrper"/>
        <w:spacing w:before="4"/>
        <w:rPr>
          <w:b/>
          <w:sz w:val="21"/>
        </w:rPr>
      </w:pPr>
    </w:p>
    <w:p w14:paraId="27312D65" w14:textId="77777777" w:rsidR="001800FA" w:rsidRDefault="00D006B8">
      <w:pPr>
        <w:pStyle w:val="Textkrper"/>
        <w:spacing w:before="1"/>
        <w:ind w:left="298"/>
      </w:pPr>
      <w:r>
        <w:t>Instrumentendesinfektionsmittel Perfektan Endo</w:t>
      </w:r>
    </w:p>
    <w:p w14:paraId="24A7541C" w14:textId="77777777" w:rsidR="001800FA" w:rsidRDefault="001800FA">
      <w:pPr>
        <w:pStyle w:val="Textkrper"/>
        <w:rPr>
          <w:sz w:val="22"/>
        </w:rPr>
      </w:pPr>
    </w:p>
    <w:p w14:paraId="42527689" w14:textId="77777777" w:rsidR="001800FA" w:rsidRDefault="001800FA">
      <w:pPr>
        <w:pStyle w:val="Textkrper"/>
        <w:spacing w:before="4"/>
        <w:rPr>
          <w:sz w:val="19"/>
        </w:rPr>
      </w:pPr>
    </w:p>
    <w:p w14:paraId="709A40BB" w14:textId="77777777" w:rsidR="001800FA" w:rsidRDefault="00D006B8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ind w:hanging="433"/>
      </w:pPr>
      <w:r>
        <w:t>Verwendete</w:t>
      </w:r>
      <w:r>
        <w:rPr>
          <w:spacing w:val="-5"/>
        </w:rPr>
        <w:t xml:space="preserve"> </w:t>
      </w:r>
      <w:r>
        <w:t>Geräte</w:t>
      </w:r>
    </w:p>
    <w:p w14:paraId="68B23367" w14:textId="77777777" w:rsidR="001800FA" w:rsidRDefault="001800FA">
      <w:pPr>
        <w:pStyle w:val="Textkrper"/>
        <w:spacing w:before="9"/>
        <w:rPr>
          <w:b/>
        </w:rPr>
      </w:pPr>
    </w:p>
    <w:p w14:paraId="176ADECC" w14:textId="77777777" w:rsidR="001800FA" w:rsidRDefault="00D006B8">
      <w:pPr>
        <w:pStyle w:val="Listenabsatz"/>
        <w:numPr>
          <w:ilvl w:val="0"/>
          <w:numId w:val="1"/>
        </w:numPr>
        <w:tabs>
          <w:tab w:val="left" w:pos="723"/>
          <w:tab w:val="left" w:pos="724"/>
        </w:tabs>
        <w:spacing w:before="1"/>
        <w:ind w:hanging="426"/>
        <w:rPr>
          <w:sz w:val="20"/>
        </w:rPr>
      </w:pPr>
      <w:r>
        <w:rPr>
          <w:sz w:val="20"/>
        </w:rPr>
        <w:t>Ultraschallbad</w:t>
      </w:r>
    </w:p>
    <w:p w14:paraId="79F1EC8E" w14:textId="77777777" w:rsidR="001800FA" w:rsidRDefault="00D006B8">
      <w:pPr>
        <w:pStyle w:val="Listenabsatz"/>
        <w:numPr>
          <w:ilvl w:val="0"/>
          <w:numId w:val="1"/>
        </w:numPr>
        <w:tabs>
          <w:tab w:val="left" w:pos="723"/>
          <w:tab w:val="left" w:pos="724"/>
        </w:tabs>
        <w:spacing w:before="112"/>
        <w:ind w:hanging="426"/>
        <w:rPr>
          <w:sz w:val="20"/>
        </w:rPr>
      </w:pPr>
      <w:r>
        <w:rPr>
          <w:sz w:val="20"/>
        </w:rPr>
        <w:t>Dosierbecher</w:t>
      </w:r>
    </w:p>
    <w:p w14:paraId="510D097B" w14:textId="77777777" w:rsidR="001800FA" w:rsidRDefault="001800FA">
      <w:pPr>
        <w:pStyle w:val="Textkrper"/>
        <w:rPr>
          <w:sz w:val="24"/>
        </w:rPr>
      </w:pPr>
    </w:p>
    <w:p w14:paraId="7C31A44C" w14:textId="77777777" w:rsidR="001800FA" w:rsidRDefault="00D006B8">
      <w:pPr>
        <w:pStyle w:val="berschrift1"/>
        <w:numPr>
          <w:ilvl w:val="0"/>
          <w:numId w:val="2"/>
        </w:numPr>
        <w:tabs>
          <w:tab w:val="left" w:pos="730"/>
          <w:tab w:val="left" w:pos="731"/>
        </w:tabs>
        <w:spacing w:before="199"/>
        <w:ind w:hanging="433"/>
      </w:pPr>
      <w:r>
        <w:t>Vorbereiten des</w:t>
      </w:r>
      <w:r>
        <w:rPr>
          <w:spacing w:val="-2"/>
        </w:rPr>
        <w:t xml:space="preserve"> </w:t>
      </w:r>
      <w:r>
        <w:t>Ultraschallbads</w:t>
      </w:r>
    </w:p>
    <w:p w14:paraId="1778F80A" w14:textId="77777777" w:rsidR="001800FA" w:rsidRDefault="001800FA">
      <w:pPr>
        <w:pStyle w:val="Textkrper"/>
        <w:spacing w:before="4"/>
        <w:rPr>
          <w:b/>
          <w:sz w:val="21"/>
        </w:rPr>
      </w:pPr>
    </w:p>
    <w:p w14:paraId="16D05800" w14:textId="77777777" w:rsidR="001800FA" w:rsidRDefault="00D006B8">
      <w:pPr>
        <w:pStyle w:val="Listenabsatz"/>
        <w:numPr>
          <w:ilvl w:val="1"/>
          <w:numId w:val="2"/>
        </w:numPr>
        <w:tabs>
          <w:tab w:val="left" w:pos="726"/>
        </w:tabs>
        <w:spacing w:line="357" w:lineRule="auto"/>
        <w:ind w:right="1242" w:hanging="576"/>
        <w:rPr>
          <w:sz w:val="20"/>
        </w:rPr>
      </w:pP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Desinfektionslösung</w:t>
      </w:r>
      <w:r>
        <w:rPr>
          <w:spacing w:val="-3"/>
          <w:sz w:val="20"/>
        </w:rPr>
        <w:t xml:space="preserve"> </w:t>
      </w:r>
      <w:r>
        <w:rPr>
          <w:sz w:val="20"/>
        </w:rPr>
        <w:t>wird</w:t>
      </w:r>
      <w:r>
        <w:rPr>
          <w:spacing w:val="-5"/>
          <w:sz w:val="20"/>
        </w:rPr>
        <w:t xml:space="preserve"> </w:t>
      </w:r>
      <w:r>
        <w:rPr>
          <w:sz w:val="20"/>
        </w:rPr>
        <w:t>nach</w:t>
      </w:r>
      <w:r>
        <w:rPr>
          <w:spacing w:val="-3"/>
          <w:sz w:val="20"/>
        </w:rPr>
        <w:t xml:space="preserve"> </w:t>
      </w:r>
      <w:r>
        <w:rPr>
          <w:sz w:val="20"/>
        </w:rPr>
        <w:t>Bedarf/Gebrauch</w:t>
      </w:r>
      <w:r>
        <w:rPr>
          <w:spacing w:val="-6"/>
          <w:sz w:val="20"/>
        </w:rPr>
        <w:t xml:space="preserve"> </w:t>
      </w:r>
      <w:r>
        <w:rPr>
          <w:sz w:val="20"/>
        </w:rPr>
        <w:t>frisch</w:t>
      </w:r>
      <w:r>
        <w:rPr>
          <w:spacing w:val="-6"/>
          <w:sz w:val="20"/>
        </w:rPr>
        <w:t xml:space="preserve"> </w:t>
      </w:r>
      <w:r>
        <w:rPr>
          <w:sz w:val="20"/>
        </w:rPr>
        <w:t>angesetzt,</w:t>
      </w:r>
      <w:r>
        <w:rPr>
          <w:spacing w:val="-4"/>
          <w:sz w:val="20"/>
        </w:rPr>
        <w:t xml:space="preserve"> </w:t>
      </w:r>
      <w:r>
        <w:rPr>
          <w:sz w:val="20"/>
        </w:rPr>
        <w:t>sowie</w:t>
      </w:r>
      <w:r>
        <w:rPr>
          <w:spacing w:val="-3"/>
          <w:sz w:val="20"/>
        </w:rPr>
        <w:t xml:space="preserve"> </w:t>
      </w:r>
      <w:r>
        <w:rPr>
          <w:sz w:val="20"/>
        </w:rPr>
        <w:t>bei</w:t>
      </w:r>
      <w:r>
        <w:rPr>
          <w:spacing w:val="-6"/>
          <w:sz w:val="20"/>
        </w:rPr>
        <w:t xml:space="preserve"> </w:t>
      </w:r>
      <w:r>
        <w:rPr>
          <w:sz w:val="20"/>
        </w:rPr>
        <w:t>sichtbarer Schmutzbelastung.</w:t>
      </w:r>
    </w:p>
    <w:p w14:paraId="51CCAC99" w14:textId="77777777" w:rsidR="001800FA" w:rsidRDefault="00D006B8">
      <w:pPr>
        <w:pStyle w:val="Listenabsatz"/>
        <w:numPr>
          <w:ilvl w:val="1"/>
          <w:numId w:val="2"/>
        </w:numPr>
        <w:tabs>
          <w:tab w:val="left" w:pos="726"/>
        </w:tabs>
        <w:spacing w:before="124"/>
        <w:ind w:left="725"/>
        <w:rPr>
          <w:sz w:val="20"/>
        </w:rPr>
      </w:pPr>
      <w:r>
        <w:rPr>
          <w:sz w:val="20"/>
        </w:rPr>
        <w:t>Es wird auf die Einhaltung der richtigen Füllhöhe</w:t>
      </w:r>
      <w:r>
        <w:rPr>
          <w:spacing w:val="1"/>
          <w:sz w:val="20"/>
        </w:rPr>
        <w:t xml:space="preserve"> </w:t>
      </w:r>
      <w:r>
        <w:rPr>
          <w:sz w:val="20"/>
        </w:rPr>
        <w:t>geachtet.</w:t>
      </w:r>
    </w:p>
    <w:p w14:paraId="3406570E" w14:textId="77777777" w:rsidR="001800FA" w:rsidRDefault="001800FA">
      <w:pPr>
        <w:pStyle w:val="Textkrper"/>
        <w:rPr>
          <w:sz w:val="22"/>
        </w:rPr>
      </w:pPr>
    </w:p>
    <w:p w14:paraId="72467605" w14:textId="77777777" w:rsidR="001800FA" w:rsidRDefault="001800FA">
      <w:pPr>
        <w:pStyle w:val="Textkrper"/>
        <w:spacing w:before="3"/>
        <w:rPr>
          <w:sz w:val="19"/>
        </w:rPr>
      </w:pPr>
    </w:p>
    <w:p w14:paraId="142A9807" w14:textId="77777777" w:rsidR="001800FA" w:rsidRDefault="00D006B8">
      <w:pPr>
        <w:pStyle w:val="Listenabsatz"/>
        <w:numPr>
          <w:ilvl w:val="0"/>
          <w:numId w:val="2"/>
        </w:numPr>
        <w:tabs>
          <w:tab w:val="left" w:pos="730"/>
          <w:tab w:val="left" w:pos="731"/>
        </w:tabs>
        <w:spacing w:before="1"/>
        <w:ind w:hanging="433"/>
        <w:rPr>
          <w:b/>
          <w:sz w:val="20"/>
        </w:rPr>
      </w:pPr>
      <w:r>
        <w:rPr>
          <w:b/>
          <w:sz w:val="20"/>
        </w:rPr>
        <w:t>Einlegen der PE 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Zangen</w:t>
      </w:r>
    </w:p>
    <w:p w14:paraId="411701E9" w14:textId="77777777" w:rsidR="001800FA" w:rsidRDefault="001800FA">
      <w:pPr>
        <w:pStyle w:val="Textkrper"/>
        <w:spacing w:before="10"/>
        <w:rPr>
          <w:b/>
        </w:rPr>
      </w:pPr>
    </w:p>
    <w:p w14:paraId="2AB1186B" w14:textId="77777777" w:rsidR="001800FA" w:rsidRDefault="00D006B8">
      <w:pPr>
        <w:pStyle w:val="Listenabsatz"/>
        <w:numPr>
          <w:ilvl w:val="1"/>
          <w:numId w:val="2"/>
        </w:numPr>
        <w:tabs>
          <w:tab w:val="left" w:pos="726"/>
        </w:tabs>
        <w:ind w:left="725"/>
        <w:rPr>
          <w:sz w:val="20"/>
        </w:rPr>
      </w:pPr>
      <w:r>
        <w:rPr>
          <w:sz w:val="20"/>
        </w:rPr>
        <w:t>Die PE – Zangen müssen vollständig von Desinfektionsmittellösung bedeckt</w:t>
      </w:r>
      <w:r>
        <w:rPr>
          <w:spacing w:val="-11"/>
          <w:sz w:val="20"/>
        </w:rPr>
        <w:t xml:space="preserve"> </w:t>
      </w:r>
      <w:r>
        <w:rPr>
          <w:sz w:val="20"/>
        </w:rPr>
        <w:t>sein.</w:t>
      </w:r>
    </w:p>
    <w:p w14:paraId="6702935D" w14:textId="77777777" w:rsidR="001800FA" w:rsidRDefault="001800FA">
      <w:pPr>
        <w:pStyle w:val="Textkrper"/>
        <w:spacing w:before="6"/>
      </w:pPr>
    </w:p>
    <w:p w14:paraId="68DC5676" w14:textId="77777777" w:rsidR="001800FA" w:rsidRDefault="00D006B8">
      <w:pPr>
        <w:pStyle w:val="Listenabsatz"/>
        <w:numPr>
          <w:ilvl w:val="1"/>
          <w:numId w:val="2"/>
        </w:numPr>
        <w:tabs>
          <w:tab w:val="left" w:pos="695"/>
        </w:tabs>
        <w:spacing w:line="360" w:lineRule="auto"/>
        <w:ind w:left="694" w:right="285" w:hanging="396"/>
        <w:jc w:val="both"/>
        <w:rPr>
          <w:sz w:val="20"/>
        </w:rPr>
      </w:pPr>
      <w:r>
        <w:rPr>
          <w:sz w:val="20"/>
        </w:rPr>
        <w:t>Bei Polypektomieschlingen ist darauf zu achten, dass der Führungstubus zuvor mit der Reinigungslösung des Ultraschallbades gespült wird so dass keine Luftblasen im Tubus verble</w:t>
      </w:r>
      <w:r>
        <w:rPr>
          <w:sz w:val="20"/>
        </w:rPr>
        <w:t>iben. Nach dem Reinigungszyklus werden die Führungstuben der Polypektomieschlingen mit min. 60ml Wasser dieses im Anschluss mit Luft</w:t>
      </w:r>
      <w:r>
        <w:rPr>
          <w:spacing w:val="-1"/>
          <w:sz w:val="20"/>
        </w:rPr>
        <w:t xml:space="preserve"> </w:t>
      </w:r>
      <w:r>
        <w:rPr>
          <w:sz w:val="20"/>
        </w:rPr>
        <w:t>ausgeblasen.</w:t>
      </w:r>
    </w:p>
    <w:p w14:paraId="67EDDA7C" w14:textId="77777777" w:rsidR="001800FA" w:rsidRDefault="00D006B8">
      <w:pPr>
        <w:pStyle w:val="Listenabsatz"/>
        <w:numPr>
          <w:ilvl w:val="1"/>
          <w:numId w:val="2"/>
        </w:numPr>
        <w:tabs>
          <w:tab w:val="left" w:pos="726"/>
        </w:tabs>
        <w:spacing w:before="117"/>
        <w:ind w:left="725"/>
        <w:jc w:val="both"/>
        <w:rPr>
          <w:sz w:val="20"/>
        </w:rPr>
      </w:pPr>
      <w:r>
        <w:rPr>
          <w:sz w:val="20"/>
        </w:rPr>
        <w:t>Es wird auf die Vermeidung von Schallschatten</w:t>
      </w:r>
      <w:r>
        <w:rPr>
          <w:spacing w:val="-1"/>
          <w:sz w:val="20"/>
        </w:rPr>
        <w:t xml:space="preserve"> </w:t>
      </w:r>
      <w:r>
        <w:rPr>
          <w:sz w:val="20"/>
        </w:rPr>
        <w:t>geachtet.</w:t>
      </w:r>
    </w:p>
    <w:p w14:paraId="2AE3BD49" w14:textId="77777777" w:rsidR="001800FA" w:rsidRDefault="001800FA">
      <w:pPr>
        <w:pStyle w:val="Textkrper"/>
        <w:spacing w:before="6"/>
      </w:pPr>
    </w:p>
    <w:p w14:paraId="7DE1651E" w14:textId="77777777" w:rsidR="001800FA" w:rsidRDefault="00D006B8">
      <w:pPr>
        <w:pStyle w:val="Listenabsatz"/>
        <w:numPr>
          <w:ilvl w:val="1"/>
          <w:numId w:val="2"/>
        </w:numPr>
        <w:tabs>
          <w:tab w:val="left" w:pos="726"/>
        </w:tabs>
        <w:ind w:left="725"/>
        <w:jc w:val="both"/>
        <w:rPr>
          <w:sz w:val="20"/>
        </w:rPr>
      </w:pPr>
      <w:r>
        <w:rPr>
          <w:sz w:val="20"/>
        </w:rPr>
        <w:t>Ultraschallfunktion</w:t>
      </w:r>
      <w:r>
        <w:rPr>
          <w:spacing w:val="-2"/>
          <w:sz w:val="20"/>
        </w:rPr>
        <w:t xml:space="preserve"> </w:t>
      </w:r>
      <w:r>
        <w:rPr>
          <w:sz w:val="20"/>
        </w:rPr>
        <w:t>aufdrehen.</w:t>
      </w:r>
    </w:p>
    <w:p w14:paraId="4AF13AAA" w14:textId="77777777" w:rsidR="001800FA" w:rsidRDefault="001800FA">
      <w:pPr>
        <w:jc w:val="both"/>
        <w:rPr>
          <w:sz w:val="20"/>
        </w:rPr>
        <w:sectPr w:rsidR="001800FA">
          <w:footerReference w:type="default" r:id="rId7"/>
          <w:type w:val="continuous"/>
          <w:pgSz w:w="11900" w:h="16840"/>
          <w:pgMar w:top="700" w:right="840" w:bottom="880" w:left="1120" w:header="720" w:footer="691" w:gutter="0"/>
          <w:pgNumType w:start="1"/>
          <w:cols w:space="720"/>
        </w:sectPr>
      </w:pPr>
    </w:p>
    <w:p w14:paraId="236474E2" w14:textId="77777777" w:rsidR="001800FA" w:rsidRDefault="00D006B8">
      <w:pPr>
        <w:pStyle w:val="Listenabsatz"/>
        <w:numPr>
          <w:ilvl w:val="1"/>
          <w:numId w:val="2"/>
        </w:numPr>
        <w:tabs>
          <w:tab w:val="left" w:pos="695"/>
        </w:tabs>
        <w:spacing w:before="78" w:line="360" w:lineRule="auto"/>
        <w:ind w:left="694" w:right="286" w:hanging="397"/>
        <w:jc w:val="both"/>
        <w:rPr>
          <w:sz w:val="20"/>
        </w:rPr>
      </w:pPr>
      <w:r>
        <w:rPr>
          <w:sz w:val="20"/>
        </w:rPr>
        <w:lastRenderedPageBreak/>
        <w:t>Die Einwirkzeit von 15min wird eingehalten Danach werden die PE – Zangen, Polypektomieschlingen, Pinzetten, Scheren, Zangen und Klammernentferner gründlich mit Leitungswasser gespült.</w:t>
      </w:r>
    </w:p>
    <w:sectPr w:rsidR="001800FA">
      <w:pgSz w:w="11900" w:h="16840"/>
      <w:pgMar w:top="1340" w:right="840" w:bottom="880" w:left="112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C287" w14:textId="77777777" w:rsidR="00000000" w:rsidRDefault="00D006B8">
      <w:r>
        <w:separator/>
      </w:r>
    </w:p>
  </w:endnote>
  <w:endnote w:type="continuationSeparator" w:id="0">
    <w:p w14:paraId="269F4F33" w14:textId="77777777" w:rsidR="00000000" w:rsidRDefault="00D0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CB95" w14:textId="77777777" w:rsidR="001800FA" w:rsidRDefault="00D006B8">
    <w:pPr>
      <w:pStyle w:val="Textkrper"/>
      <w:spacing w:line="14" w:lineRule="auto"/>
    </w:pPr>
    <w:r>
      <w:pict w14:anchorId="28935D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9pt;margin-top:796.45pt;width:48.85pt;height:11pt;z-index:-251658752;mso-position-horizontal-relative:page;mso-position-vertical-relative:page" filled="f" stroked="f">
          <v:textbox inset="0,0,0,0">
            <w:txbxContent>
              <w:p w14:paraId="23879DFB" w14:textId="77777777" w:rsidR="001800FA" w:rsidRDefault="00D006B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Seite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von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A8F5" w14:textId="77777777" w:rsidR="00000000" w:rsidRDefault="00D006B8">
      <w:r>
        <w:separator/>
      </w:r>
    </w:p>
  </w:footnote>
  <w:footnote w:type="continuationSeparator" w:id="0">
    <w:p w14:paraId="7465B090" w14:textId="77777777" w:rsidR="00000000" w:rsidRDefault="00D0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826"/>
    <w:multiLevelType w:val="multilevel"/>
    <w:tmpl w:val="0E7C074A"/>
    <w:lvl w:ilvl="0">
      <w:start w:val="1"/>
      <w:numFmt w:val="decimal"/>
      <w:lvlText w:val="%1"/>
      <w:lvlJc w:val="left"/>
      <w:pPr>
        <w:ind w:left="730" w:hanging="432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74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880" w:hanging="428"/>
      </w:pPr>
      <w:rPr>
        <w:rFonts w:hint="default"/>
      </w:rPr>
    </w:lvl>
    <w:lvl w:ilvl="3">
      <w:numFmt w:val="bullet"/>
      <w:lvlText w:val="•"/>
      <w:lvlJc w:val="left"/>
      <w:pPr>
        <w:ind w:left="2012" w:hanging="428"/>
      </w:pPr>
      <w:rPr>
        <w:rFonts w:hint="default"/>
      </w:rPr>
    </w:lvl>
    <w:lvl w:ilvl="4">
      <w:numFmt w:val="bullet"/>
      <w:lvlText w:val="•"/>
      <w:lvlJc w:val="left"/>
      <w:pPr>
        <w:ind w:left="3145" w:hanging="428"/>
      </w:pPr>
      <w:rPr>
        <w:rFonts w:hint="default"/>
      </w:rPr>
    </w:lvl>
    <w:lvl w:ilvl="5">
      <w:numFmt w:val="bullet"/>
      <w:lvlText w:val="•"/>
      <w:lvlJc w:val="left"/>
      <w:pPr>
        <w:ind w:left="4277" w:hanging="428"/>
      </w:pPr>
      <w:rPr>
        <w:rFonts w:hint="default"/>
      </w:rPr>
    </w:lvl>
    <w:lvl w:ilvl="6">
      <w:numFmt w:val="bullet"/>
      <w:lvlText w:val="•"/>
      <w:lvlJc w:val="left"/>
      <w:pPr>
        <w:ind w:left="5410" w:hanging="428"/>
      </w:pPr>
      <w:rPr>
        <w:rFonts w:hint="default"/>
      </w:rPr>
    </w:lvl>
    <w:lvl w:ilvl="7">
      <w:numFmt w:val="bullet"/>
      <w:lvlText w:val="•"/>
      <w:lvlJc w:val="left"/>
      <w:pPr>
        <w:ind w:left="6542" w:hanging="428"/>
      </w:pPr>
      <w:rPr>
        <w:rFonts w:hint="default"/>
      </w:rPr>
    </w:lvl>
    <w:lvl w:ilvl="8">
      <w:numFmt w:val="bullet"/>
      <w:lvlText w:val="•"/>
      <w:lvlJc w:val="left"/>
      <w:pPr>
        <w:ind w:left="7675" w:hanging="428"/>
      </w:pPr>
      <w:rPr>
        <w:rFonts w:hint="default"/>
      </w:rPr>
    </w:lvl>
  </w:abstractNum>
  <w:abstractNum w:abstractNumId="1" w15:restartNumberingAfterBreak="0">
    <w:nsid w:val="15D84084"/>
    <w:multiLevelType w:val="hybridMultilevel"/>
    <w:tmpl w:val="9C3089E2"/>
    <w:lvl w:ilvl="0" w:tplc="38D0DCF2">
      <w:numFmt w:val="bullet"/>
      <w:lvlText w:val=""/>
      <w:lvlJc w:val="left"/>
      <w:pPr>
        <w:ind w:left="723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DFDEE94A">
      <w:numFmt w:val="bullet"/>
      <w:lvlText w:val="•"/>
      <w:lvlJc w:val="left"/>
      <w:pPr>
        <w:ind w:left="1642" w:hanging="425"/>
      </w:pPr>
      <w:rPr>
        <w:rFonts w:hint="default"/>
      </w:rPr>
    </w:lvl>
    <w:lvl w:ilvl="2" w:tplc="45FC62B6">
      <w:numFmt w:val="bullet"/>
      <w:lvlText w:val="•"/>
      <w:lvlJc w:val="left"/>
      <w:pPr>
        <w:ind w:left="2564" w:hanging="425"/>
      </w:pPr>
      <w:rPr>
        <w:rFonts w:hint="default"/>
      </w:rPr>
    </w:lvl>
    <w:lvl w:ilvl="3" w:tplc="616E4F16">
      <w:numFmt w:val="bullet"/>
      <w:lvlText w:val="•"/>
      <w:lvlJc w:val="left"/>
      <w:pPr>
        <w:ind w:left="3486" w:hanging="425"/>
      </w:pPr>
      <w:rPr>
        <w:rFonts w:hint="default"/>
      </w:rPr>
    </w:lvl>
    <w:lvl w:ilvl="4" w:tplc="688E7EF8">
      <w:numFmt w:val="bullet"/>
      <w:lvlText w:val="•"/>
      <w:lvlJc w:val="left"/>
      <w:pPr>
        <w:ind w:left="4408" w:hanging="425"/>
      </w:pPr>
      <w:rPr>
        <w:rFonts w:hint="default"/>
      </w:rPr>
    </w:lvl>
    <w:lvl w:ilvl="5" w:tplc="8B50DF76">
      <w:numFmt w:val="bullet"/>
      <w:lvlText w:val="•"/>
      <w:lvlJc w:val="left"/>
      <w:pPr>
        <w:ind w:left="5330" w:hanging="425"/>
      </w:pPr>
      <w:rPr>
        <w:rFonts w:hint="default"/>
      </w:rPr>
    </w:lvl>
    <w:lvl w:ilvl="6" w:tplc="2DE4F116">
      <w:numFmt w:val="bullet"/>
      <w:lvlText w:val="•"/>
      <w:lvlJc w:val="left"/>
      <w:pPr>
        <w:ind w:left="6252" w:hanging="425"/>
      </w:pPr>
      <w:rPr>
        <w:rFonts w:hint="default"/>
      </w:rPr>
    </w:lvl>
    <w:lvl w:ilvl="7" w:tplc="75DAC40C">
      <w:numFmt w:val="bullet"/>
      <w:lvlText w:val="•"/>
      <w:lvlJc w:val="left"/>
      <w:pPr>
        <w:ind w:left="7174" w:hanging="425"/>
      </w:pPr>
      <w:rPr>
        <w:rFonts w:hint="default"/>
      </w:rPr>
    </w:lvl>
    <w:lvl w:ilvl="8" w:tplc="AB4C1ED4">
      <w:numFmt w:val="bullet"/>
      <w:lvlText w:val="•"/>
      <w:lvlJc w:val="left"/>
      <w:pPr>
        <w:ind w:left="8096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0FA"/>
    <w:rsid w:val="001800FA"/>
    <w:rsid w:val="00D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B83CA3"/>
  <w15:docId w15:val="{4865FF09-E646-4FF6-84F7-92574CA2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730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730" w:hanging="433"/>
    </w:pPr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SAA 04 Ultraschallbad.docx</dc:title>
  <dc:creator>user</dc:creator>
  <cp:lastModifiedBy>Gerald Oppeck</cp:lastModifiedBy>
  <cp:revision>2</cp:revision>
  <dcterms:created xsi:type="dcterms:W3CDTF">2020-02-24T09:02:00Z</dcterms:created>
  <dcterms:modified xsi:type="dcterms:W3CDTF">2021-06-04T06:52:00Z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