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2713" w14:textId="77777777" w:rsidR="003F2375" w:rsidRDefault="00563FB7">
      <w:pPr>
        <w:pStyle w:val="Textkrper"/>
        <w:ind w:left="96"/>
        <w:rPr>
          <w:rFonts w:ascii="Times New Roman"/>
        </w:rPr>
      </w:pPr>
      <w:r>
        <w:rPr>
          <w:rFonts w:ascii="Times New Roman"/>
        </w:rPr>
      </w:r>
      <w:r>
        <w:rPr>
          <w:rFonts w:ascii="Times New Roman"/>
        </w:rPr>
        <w:pict w14:anchorId="6CFC252D">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inset="0,0,0,0">
                <w:txbxContent>
                  <w:p w14:paraId="68FD3F14" w14:textId="77777777" w:rsidR="003F2375" w:rsidRDefault="003F2375">
                    <w:pPr>
                      <w:rPr>
                        <w:rFonts w:ascii="Times New Roman"/>
                        <w:sz w:val="26"/>
                      </w:rPr>
                    </w:pPr>
                  </w:p>
                  <w:p w14:paraId="5669CC5D" w14:textId="77777777" w:rsidR="003F2375" w:rsidRDefault="003F2375">
                    <w:pPr>
                      <w:spacing w:before="4"/>
                      <w:rPr>
                        <w:rFonts w:ascii="Times New Roman"/>
                        <w:sz w:val="25"/>
                      </w:rPr>
                    </w:pPr>
                  </w:p>
                  <w:p w14:paraId="33D1ED6B" w14:textId="77777777" w:rsidR="003F2375" w:rsidRDefault="00563FB7">
                    <w:pPr>
                      <w:ind w:left="883" w:right="883"/>
                      <w:jc w:val="center"/>
                      <w:rPr>
                        <w:sz w:val="24"/>
                      </w:rPr>
                    </w:pPr>
                    <w:r>
                      <w:rPr>
                        <w:sz w:val="24"/>
                      </w:rPr>
                      <w:t>SAA 10 – Vorbereitung des Endoskopie-Turms</w:t>
                    </w:r>
                  </w:p>
                </w:txbxContent>
              </v:textbox>
            </v:shape>
            <v:shape id="_x0000_s1027" type="#_x0000_t202" style="position:absolute;left:21;top:21;width:2880;height:1637" filled="f" strokeweight="2.16pt">
              <v:textbox inset="0,0,0,0">
                <w:txbxContent>
                  <w:p w14:paraId="3B23FC21" w14:textId="77777777" w:rsidR="003F2375" w:rsidRDefault="003F2375">
                    <w:pPr>
                      <w:rPr>
                        <w:rFonts w:ascii="Times New Roman"/>
                        <w:sz w:val="24"/>
                      </w:rPr>
                    </w:pPr>
                  </w:p>
                  <w:p w14:paraId="6E8C4CCF" w14:textId="77777777" w:rsidR="003F2375" w:rsidRDefault="003F2375">
                    <w:pPr>
                      <w:rPr>
                        <w:rFonts w:ascii="Times New Roman"/>
                        <w:sz w:val="29"/>
                      </w:rPr>
                    </w:pPr>
                  </w:p>
                  <w:p w14:paraId="176BA4B4" w14:textId="0C9FF46D" w:rsidR="003F2375" w:rsidRPr="00563FB7" w:rsidRDefault="00563FB7">
                    <w:pPr>
                      <w:ind w:left="47"/>
                      <w:rPr>
                        <w:b/>
                        <w:lang w:val="de-AT"/>
                      </w:rPr>
                    </w:pPr>
                    <w:r>
                      <w:rPr>
                        <w:b/>
                      </w:rPr>
                      <w:t>Ordination Dr. NN</w:t>
                    </w:r>
                  </w:p>
                </w:txbxContent>
              </v:textbox>
            </v:shape>
            <w10:anchorlock/>
          </v:group>
        </w:pict>
      </w:r>
    </w:p>
    <w:p w14:paraId="610ACDDB" w14:textId="77777777" w:rsidR="003F2375" w:rsidRDefault="003F2375">
      <w:pPr>
        <w:pStyle w:val="Textkrper"/>
        <w:spacing w:before="8"/>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3F2375" w14:paraId="1DFDC7A1" w14:textId="77777777">
        <w:trPr>
          <w:trHeight w:val="371"/>
        </w:trPr>
        <w:tc>
          <w:tcPr>
            <w:tcW w:w="1582" w:type="dxa"/>
          </w:tcPr>
          <w:p w14:paraId="76882F1C" w14:textId="77777777" w:rsidR="003F2375" w:rsidRDefault="00563FB7">
            <w:pPr>
              <w:pStyle w:val="TableParagraph"/>
              <w:spacing w:before="94"/>
              <w:rPr>
                <w:sz w:val="16"/>
              </w:rPr>
            </w:pPr>
            <w:r>
              <w:rPr>
                <w:sz w:val="16"/>
              </w:rPr>
              <w:t>Erstellt:</w:t>
            </w:r>
          </w:p>
        </w:tc>
        <w:tc>
          <w:tcPr>
            <w:tcW w:w="3240" w:type="dxa"/>
          </w:tcPr>
          <w:p w14:paraId="61843C3B" w14:textId="2AB9A542" w:rsidR="003F2375" w:rsidRDefault="00563FB7">
            <w:pPr>
              <w:pStyle w:val="TableParagraph"/>
              <w:spacing w:before="94"/>
              <w:rPr>
                <w:sz w:val="16"/>
              </w:rPr>
            </w:pPr>
            <w:r>
              <w:rPr>
                <w:sz w:val="16"/>
              </w:rPr>
              <w:t>NN</w:t>
            </w:r>
          </w:p>
        </w:tc>
        <w:tc>
          <w:tcPr>
            <w:tcW w:w="1416" w:type="dxa"/>
          </w:tcPr>
          <w:p w14:paraId="29079567" w14:textId="77777777" w:rsidR="003F2375" w:rsidRDefault="00563FB7">
            <w:pPr>
              <w:pStyle w:val="TableParagraph"/>
              <w:spacing w:before="94"/>
              <w:rPr>
                <w:sz w:val="16"/>
              </w:rPr>
            </w:pPr>
            <w:r>
              <w:rPr>
                <w:sz w:val="16"/>
              </w:rPr>
              <w:t>Unterschrift:</w:t>
            </w:r>
          </w:p>
        </w:tc>
        <w:tc>
          <w:tcPr>
            <w:tcW w:w="3403" w:type="dxa"/>
          </w:tcPr>
          <w:p w14:paraId="22FB4E76" w14:textId="77777777" w:rsidR="003F2375" w:rsidRDefault="003F2375">
            <w:pPr>
              <w:pStyle w:val="TableParagraph"/>
              <w:ind w:left="0"/>
              <w:rPr>
                <w:rFonts w:ascii="Times New Roman"/>
                <w:sz w:val="18"/>
              </w:rPr>
            </w:pPr>
          </w:p>
        </w:tc>
      </w:tr>
      <w:tr w:rsidR="003F2375" w14:paraId="49ED8F63" w14:textId="77777777">
        <w:trPr>
          <w:trHeight w:val="335"/>
        </w:trPr>
        <w:tc>
          <w:tcPr>
            <w:tcW w:w="1582" w:type="dxa"/>
          </w:tcPr>
          <w:p w14:paraId="2BE03F42" w14:textId="77777777" w:rsidR="003F2375" w:rsidRDefault="00563FB7">
            <w:pPr>
              <w:pStyle w:val="TableParagraph"/>
              <w:spacing w:before="75"/>
              <w:rPr>
                <w:sz w:val="16"/>
              </w:rPr>
            </w:pPr>
            <w:r>
              <w:rPr>
                <w:sz w:val="16"/>
              </w:rPr>
              <w:t>Freigegeben:</w:t>
            </w:r>
          </w:p>
        </w:tc>
        <w:tc>
          <w:tcPr>
            <w:tcW w:w="3240" w:type="dxa"/>
          </w:tcPr>
          <w:p w14:paraId="54E7A3A9" w14:textId="3ADCBF71" w:rsidR="003F2375" w:rsidRDefault="00563FB7">
            <w:pPr>
              <w:pStyle w:val="TableParagraph"/>
              <w:spacing w:before="75"/>
              <w:rPr>
                <w:sz w:val="16"/>
              </w:rPr>
            </w:pPr>
            <w:r>
              <w:rPr>
                <w:sz w:val="16"/>
              </w:rPr>
              <w:t>Dr. NN</w:t>
            </w:r>
          </w:p>
        </w:tc>
        <w:tc>
          <w:tcPr>
            <w:tcW w:w="1416" w:type="dxa"/>
          </w:tcPr>
          <w:p w14:paraId="557E7EAF" w14:textId="77777777" w:rsidR="003F2375" w:rsidRDefault="00563FB7">
            <w:pPr>
              <w:pStyle w:val="TableParagraph"/>
              <w:spacing w:before="75"/>
              <w:rPr>
                <w:sz w:val="16"/>
              </w:rPr>
            </w:pPr>
            <w:r>
              <w:rPr>
                <w:sz w:val="16"/>
              </w:rPr>
              <w:t>Unterschrift:</w:t>
            </w:r>
          </w:p>
        </w:tc>
        <w:tc>
          <w:tcPr>
            <w:tcW w:w="3403" w:type="dxa"/>
          </w:tcPr>
          <w:p w14:paraId="70CED5D0" w14:textId="77777777" w:rsidR="003F2375" w:rsidRDefault="003F2375">
            <w:pPr>
              <w:pStyle w:val="TableParagraph"/>
              <w:ind w:left="0"/>
              <w:rPr>
                <w:rFonts w:ascii="Times New Roman"/>
                <w:sz w:val="18"/>
              </w:rPr>
            </w:pPr>
          </w:p>
        </w:tc>
      </w:tr>
      <w:tr w:rsidR="003F2375" w14:paraId="261C0AEC" w14:textId="77777777">
        <w:trPr>
          <w:trHeight w:val="340"/>
        </w:trPr>
        <w:tc>
          <w:tcPr>
            <w:tcW w:w="1582" w:type="dxa"/>
          </w:tcPr>
          <w:p w14:paraId="39A2A880" w14:textId="77777777" w:rsidR="003F2375" w:rsidRDefault="00563FB7">
            <w:pPr>
              <w:pStyle w:val="TableParagraph"/>
              <w:spacing w:before="78"/>
              <w:rPr>
                <w:sz w:val="16"/>
              </w:rPr>
            </w:pPr>
            <w:r>
              <w:rPr>
                <w:sz w:val="16"/>
              </w:rPr>
              <w:t>Gültig ab:</w:t>
            </w:r>
          </w:p>
        </w:tc>
        <w:tc>
          <w:tcPr>
            <w:tcW w:w="3240" w:type="dxa"/>
          </w:tcPr>
          <w:p w14:paraId="302700AE" w14:textId="77777777" w:rsidR="003F2375" w:rsidRDefault="00563FB7">
            <w:pPr>
              <w:pStyle w:val="TableParagraph"/>
              <w:spacing w:before="78"/>
              <w:rPr>
                <w:sz w:val="16"/>
              </w:rPr>
            </w:pPr>
            <w:r>
              <w:rPr>
                <w:sz w:val="16"/>
              </w:rPr>
              <w:t>August 2019</w:t>
            </w:r>
          </w:p>
        </w:tc>
        <w:tc>
          <w:tcPr>
            <w:tcW w:w="1416" w:type="dxa"/>
          </w:tcPr>
          <w:p w14:paraId="6351E64E" w14:textId="77777777" w:rsidR="003F2375" w:rsidRDefault="003F2375">
            <w:pPr>
              <w:pStyle w:val="TableParagraph"/>
              <w:ind w:left="0"/>
              <w:rPr>
                <w:rFonts w:ascii="Times New Roman"/>
                <w:sz w:val="18"/>
              </w:rPr>
            </w:pPr>
          </w:p>
        </w:tc>
        <w:tc>
          <w:tcPr>
            <w:tcW w:w="3403" w:type="dxa"/>
          </w:tcPr>
          <w:p w14:paraId="57FD2908" w14:textId="77777777" w:rsidR="003F2375" w:rsidRDefault="003F2375">
            <w:pPr>
              <w:pStyle w:val="TableParagraph"/>
              <w:ind w:left="0"/>
              <w:rPr>
                <w:rFonts w:ascii="Times New Roman"/>
                <w:sz w:val="18"/>
              </w:rPr>
            </w:pPr>
          </w:p>
        </w:tc>
      </w:tr>
    </w:tbl>
    <w:p w14:paraId="1CDBD29C" w14:textId="77777777" w:rsidR="003F2375" w:rsidRDefault="003F2375">
      <w:pPr>
        <w:pStyle w:val="Textkrper"/>
        <w:spacing w:before="2"/>
        <w:rPr>
          <w:rFonts w:ascii="Times New Roman"/>
          <w:sz w:val="24"/>
        </w:rPr>
      </w:pPr>
    </w:p>
    <w:p w14:paraId="382B5A1A" w14:textId="77777777" w:rsidR="003F2375" w:rsidRDefault="00563FB7">
      <w:pPr>
        <w:pStyle w:val="berschrift1"/>
        <w:numPr>
          <w:ilvl w:val="0"/>
          <w:numId w:val="1"/>
        </w:numPr>
        <w:tabs>
          <w:tab w:val="left" w:pos="730"/>
          <w:tab w:val="left" w:pos="731"/>
        </w:tabs>
        <w:spacing w:before="94"/>
        <w:ind w:hanging="433"/>
      </w:pPr>
      <w:r>
        <w:t>Zweck</w:t>
      </w:r>
    </w:p>
    <w:p w14:paraId="722C7075" w14:textId="77777777" w:rsidR="003F2375" w:rsidRDefault="003F2375">
      <w:pPr>
        <w:pStyle w:val="Textkrper"/>
        <w:spacing w:before="4"/>
        <w:rPr>
          <w:b/>
          <w:sz w:val="21"/>
        </w:rPr>
      </w:pPr>
    </w:p>
    <w:p w14:paraId="2DE3309E" w14:textId="77777777" w:rsidR="003F2375" w:rsidRDefault="00563FB7">
      <w:pPr>
        <w:pStyle w:val="Textkrper"/>
        <w:ind w:left="298"/>
        <w:jc w:val="both"/>
      </w:pPr>
      <w:r>
        <w:t>Diese Standard – Arbeitsanweisung (SAA) regelt die Vorbereitung des Endoskopie-Turms</w:t>
      </w:r>
    </w:p>
    <w:p w14:paraId="7FCCD777" w14:textId="77777777" w:rsidR="003F2375" w:rsidRDefault="003F2375">
      <w:pPr>
        <w:pStyle w:val="Textkrper"/>
        <w:rPr>
          <w:sz w:val="22"/>
        </w:rPr>
      </w:pPr>
    </w:p>
    <w:p w14:paraId="7072E7AA" w14:textId="77777777" w:rsidR="003F2375" w:rsidRDefault="003F2375">
      <w:pPr>
        <w:pStyle w:val="Textkrper"/>
        <w:spacing w:before="4"/>
        <w:rPr>
          <w:sz w:val="19"/>
        </w:rPr>
      </w:pPr>
    </w:p>
    <w:p w14:paraId="032E5348" w14:textId="77777777" w:rsidR="003F2375" w:rsidRDefault="00563FB7">
      <w:pPr>
        <w:pStyle w:val="berschrift1"/>
        <w:numPr>
          <w:ilvl w:val="0"/>
          <w:numId w:val="1"/>
        </w:numPr>
        <w:tabs>
          <w:tab w:val="left" w:pos="730"/>
          <w:tab w:val="left" w:pos="731"/>
        </w:tabs>
        <w:spacing w:before="1"/>
        <w:ind w:hanging="433"/>
      </w:pPr>
      <w:r>
        <w:t>Verantwortlichkeiten</w:t>
      </w:r>
    </w:p>
    <w:p w14:paraId="233DA1A3" w14:textId="77777777" w:rsidR="003F2375" w:rsidRDefault="003F2375">
      <w:pPr>
        <w:pStyle w:val="Textkrper"/>
        <w:spacing w:before="4"/>
        <w:rPr>
          <w:b/>
          <w:sz w:val="21"/>
        </w:rPr>
      </w:pPr>
    </w:p>
    <w:p w14:paraId="0E6EB1B4" w14:textId="77777777" w:rsidR="003F2375" w:rsidRDefault="00563FB7">
      <w:pPr>
        <w:pStyle w:val="Textkrper"/>
        <w:spacing w:line="360" w:lineRule="auto"/>
        <w:ind w:left="298" w:right="723"/>
        <w:jc w:val="both"/>
      </w:pPr>
      <w:r>
        <w:t>Mitarbeiter/innen in der Aufbereitung und Endoskopie, die die erforderliche Ausbildung, Kenntnis und Erfahrung haben.</w:t>
      </w:r>
    </w:p>
    <w:p w14:paraId="47A3F572" w14:textId="77777777" w:rsidR="003F2375" w:rsidRDefault="003F2375">
      <w:pPr>
        <w:pStyle w:val="Textkrper"/>
        <w:spacing w:before="5"/>
        <w:rPr>
          <w:sz w:val="31"/>
        </w:rPr>
      </w:pPr>
    </w:p>
    <w:p w14:paraId="780BF2F3" w14:textId="77777777" w:rsidR="003F2375" w:rsidRDefault="00563FB7">
      <w:pPr>
        <w:pStyle w:val="berschrift1"/>
        <w:numPr>
          <w:ilvl w:val="0"/>
          <w:numId w:val="1"/>
        </w:numPr>
        <w:tabs>
          <w:tab w:val="left" w:pos="730"/>
          <w:tab w:val="left" w:pos="731"/>
        </w:tabs>
        <w:ind w:hanging="433"/>
      </w:pPr>
      <w:r>
        <w:t>Durchführung</w:t>
      </w:r>
    </w:p>
    <w:p w14:paraId="7D743AA0" w14:textId="77777777" w:rsidR="003F2375" w:rsidRDefault="003F2375">
      <w:pPr>
        <w:pStyle w:val="Textkrper"/>
        <w:spacing w:before="4"/>
        <w:rPr>
          <w:b/>
          <w:sz w:val="21"/>
        </w:rPr>
      </w:pPr>
    </w:p>
    <w:p w14:paraId="6EFA111F" w14:textId="77777777" w:rsidR="003F2375" w:rsidRDefault="00563FB7">
      <w:pPr>
        <w:pStyle w:val="berschrift2"/>
        <w:spacing w:before="1" w:line="229" w:lineRule="exact"/>
        <w:jc w:val="both"/>
        <w:rPr>
          <w:u w:val="none"/>
        </w:rPr>
      </w:pPr>
      <w:r>
        <w:rPr>
          <w:u w:val="thick"/>
        </w:rPr>
        <w:t>Vorbereitung des Endoskopie-Turms</w:t>
      </w:r>
    </w:p>
    <w:p w14:paraId="0A6FBBFD" w14:textId="77777777" w:rsidR="003F2375" w:rsidRDefault="00563FB7">
      <w:pPr>
        <w:pStyle w:val="Textkrper"/>
        <w:ind w:left="298" w:right="288"/>
        <w:jc w:val="both"/>
      </w:pPr>
      <w:r>
        <w:t xml:space="preserve">Der Endoskopie-Turm ist durch eine Wischdesinfektion mit „Ecolab – Incidin Liquid“ jeden </w:t>
      </w:r>
      <w:r>
        <w:t>Morgen beziehungsweise zu Beginn eines Arbeitstages zu reinigen – dies Betrifft den Turm selbst, alle Kunststoff- und Anbauteile, und alle darauf befindlichen</w:t>
      </w:r>
      <w:r>
        <w:rPr>
          <w:spacing w:val="-1"/>
        </w:rPr>
        <w:t xml:space="preserve"> </w:t>
      </w:r>
      <w:r>
        <w:t>Geräte.</w:t>
      </w:r>
    </w:p>
    <w:p w14:paraId="7B8B97C6" w14:textId="77777777" w:rsidR="003F2375" w:rsidRDefault="00563FB7">
      <w:pPr>
        <w:pStyle w:val="Textkrper"/>
        <w:ind w:left="298" w:right="284"/>
        <w:jc w:val="both"/>
      </w:pPr>
      <w:r>
        <w:t>Nach Inbetriebnahme sämtlicher Geräte müssen die Video- und Datenverbindungen, wie im Dok</w:t>
      </w:r>
      <w:r>
        <w:t>ument SAA-für die Endoskopie beschrieben, überprüft werden.</w:t>
      </w:r>
    </w:p>
    <w:p w14:paraId="354A6FFB" w14:textId="77777777" w:rsidR="003F2375" w:rsidRDefault="003F2375">
      <w:pPr>
        <w:pStyle w:val="Textkrper"/>
        <w:spacing w:before="10"/>
        <w:rPr>
          <w:sz w:val="19"/>
        </w:rPr>
      </w:pPr>
    </w:p>
    <w:p w14:paraId="03B6BD24" w14:textId="77777777" w:rsidR="003F2375" w:rsidRDefault="00563FB7">
      <w:pPr>
        <w:pStyle w:val="berschrift2"/>
        <w:rPr>
          <w:u w:val="none"/>
        </w:rPr>
      </w:pPr>
      <w:r>
        <w:rPr>
          <w:u w:val="thick"/>
        </w:rPr>
        <w:t>Endoskop</w:t>
      </w:r>
    </w:p>
    <w:p w14:paraId="1482B019" w14:textId="77777777" w:rsidR="003F2375" w:rsidRDefault="00563FB7">
      <w:pPr>
        <w:pStyle w:val="Textkrper"/>
        <w:spacing w:before="1"/>
        <w:ind w:left="298" w:right="288"/>
        <w:jc w:val="both"/>
      </w:pPr>
      <w:r>
        <w:t>Wird unmittelbar vor der Untersuchung aus dem Aufbewahrungsschrank entnommen und mit dem Endoskopie-Turm verbunden, eine Steckverbindung zur Lichtquelle und ein Bajonettanschluss zum Vid</w:t>
      </w:r>
      <w:r>
        <w:t>eoprozessor an der Versorgungseinheit des Endoskops.</w:t>
      </w:r>
    </w:p>
    <w:p w14:paraId="74AA7463" w14:textId="77777777" w:rsidR="003F2375" w:rsidRDefault="00563FB7">
      <w:pPr>
        <w:pStyle w:val="Textkrper"/>
        <w:spacing w:before="1"/>
        <w:ind w:left="298" w:right="288"/>
        <w:jc w:val="both"/>
      </w:pPr>
      <w:r>
        <w:t>Die Ventile sowie die Verschlusskappe des Biopsiekanals, werden aus dem an der Versorgungseinheit angebrachten Silikonkörbchen entnommen, eventuell mit Leitungswasser befeuchtet und an den angedachten St</w:t>
      </w:r>
      <w:r>
        <w:t>ellen am Endoskop angebracht.</w:t>
      </w:r>
    </w:p>
    <w:p w14:paraId="4A3FFAD7" w14:textId="77777777" w:rsidR="003F2375" w:rsidRDefault="003F2375">
      <w:pPr>
        <w:pStyle w:val="Textkrper"/>
        <w:spacing w:before="10"/>
        <w:rPr>
          <w:sz w:val="19"/>
        </w:rPr>
      </w:pPr>
    </w:p>
    <w:p w14:paraId="1386F422" w14:textId="77777777" w:rsidR="003F2375" w:rsidRDefault="00563FB7">
      <w:pPr>
        <w:pStyle w:val="berschrift2"/>
        <w:spacing w:before="1"/>
        <w:rPr>
          <w:u w:val="none"/>
        </w:rPr>
      </w:pPr>
      <w:r>
        <w:rPr>
          <w:u w:val="thick"/>
        </w:rPr>
        <w:t>Wassersprühflasche</w:t>
      </w:r>
    </w:p>
    <w:p w14:paraId="3B5070A7" w14:textId="77777777" w:rsidR="003F2375" w:rsidRDefault="00563FB7">
      <w:pPr>
        <w:pStyle w:val="Textkrper"/>
        <w:ind w:left="298" w:right="287"/>
        <w:jc w:val="both"/>
      </w:pPr>
      <w:r>
        <w:t>Dies ist bis zur maximalen Markierung mit Leitungswasser zu befüllen und an der linken Seite der Lichtquelle über die dafür vorgesehen Einhängevorrichtung anzubringen. Sie wird mittel Bajonettverschluss mit dem angeschlossenen Endoskop verbunden und nach j</w:t>
      </w:r>
      <w:r>
        <w:t>edem Patienten getauscht und in der RGD-E, wie im Dokument SAA-für die Endoskopie beschrieben, aufbereitet und gelagert.</w:t>
      </w:r>
    </w:p>
    <w:p w14:paraId="17FE8845" w14:textId="77777777" w:rsidR="003F2375" w:rsidRDefault="003F2375">
      <w:pPr>
        <w:pStyle w:val="Textkrper"/>
      </w:pPr>
    </w:p>
    <w:p w14:paraId="1ABE6B20" w14:textId="77777777" w:rsidR="003F2375" w:rsidRDefault="00563FB7">
      <w:pPr>
        <w:pStyle w:val="berschrift2"/>
        <w:rPr>
          <w:u w:val="none"/>
        </w:rPr>
      </w:pPr>
      <w:r>
        <w:rPr>
          <w:u w:val="thick"/>
        </w:rPr>
        <w:t>Absaugeinheit</w:t>
      </w:r>
    </w:p>
    <w:p w14:paraId="16207CF9" w14:textId="77777777" w:rsidR="003F2375" w:rsidRDefault="00563FB7">
      <w:pPr>
        <w:pStyle w:val="Textkrper"/>
        <w:ind w:left="298" w:right="286"/>
        <w:jc w:val="both"/>
      </w:pPr>
      <w:r>
        <w:t>An der Absaugeinheit wird zu Beginn des Arbeitstages der 2µ Mikrobenfilter an der Front der Absaugpumpe und das Filterpl</w:t>
      </w:r>
      <w:r>
        <w:t>ättchen des Filterplättchenhalters am Sekretauffangbehälter getauscht. Der, wie im Dokument SAA-für die Endoskopie beschrieben, aufbereitete Sekretauffangbehälter wird mittels singeluse Absagschlauch mit dem Endoskop verbunden. Dieser Schlauch ist nach jed</w:t>
      </w:r>
      <w:r>
        <w:t>em Patienten zu wechseln.</w:t>
      </w:r>
    </w:p>
    <w:p w14:paraId="776727D5" w14:textId="77777777" w:rsidR="003F2375" w:rsidRDefault="003F2375">
      <w:pPr>
        <w:pStyle w:val="Textkrper"/>
      </w:pPr>
    </w:p>
    <w:p w14:paraId="4B700C3E" w14:textId="77777777" w:rsidR="003F2375" w:rsidRDefault="00563FB7">
      <w:pPr>
        <w:pStyle w:val="berschrift2"/>
        <w:rPr>
          <w:u w:val="none"/>
        </w:rPr>
      </w:pPr>
      <w:r>
        <w:rPr>
          <w:u w:val="thick"/>
        </w:rPr>
        <w:t>Endowasher</w:t>
      </w:r>
    </w:p>
    <w:p w14:paraId="249275BA" w14:textId="77777777" w:rsidR="003F2375" w:rsidRDefault="00563FB7">
      <w:pPr>
        <w:pStyle w:val="Textkrper"/>
        <w:spacing w:before="1"/>
        <w:ind w:left="298" w:right="284" w:hanging="1"/>
        <w:jc w:val="both"/>
      </w:pPr>
      <w:r>
        <w:t>Am Endowasher wird zu Beginn des Arbeitstages der Spülschlauch sowie der Anschlussadapter mit Rückschlagventil getauscht. Aufgrund des Rückschlagventils kann dieser Schlauch 24h am System verbleiben und für multiple Pa</w:t>
      </w:r>
      <w:r>
        <w:t>tienten verwendet werden. Am Ende des Arbeitstags wird dieser verworfen.</w:t>
      </w:r>
    </w:p>
    <w:p w14:paraId="21BB13D3" w14:textId="77777777" w:rsidR="003F2375" w:rsidRDefault="003F2375">
      <w:pPr>
        <w:pStyle w:val="Textkrper"/>
        <w:spacing w:before="10"/>
        <w:rPr>
          <w:sz w:val="19"/>
        </w:rPr>
      </w:pPr>
    </w:p>
    <w:p w14:paraId="20F4426C" w14:textId="77777777" w:rsidR="003F2375" w:rsidRDefault="00563FB7">
      <w:pPr>
        <w:pStyle w:val="berschrift2"/>
        <w:rPr>
          <w:u w:val="none"/>
        </w:rPr>
      </w:pPr>
      <w:r>
        <w:rPr>
          <w:u w:val="thick"/>
        </w:rPr>
        <w:t>Patientenmonitor</w:t>
      </w:r>
    </w:p>
    <w:p w14:paraId="55A4E89F" w14:textId="77777777" w:rsidR="003F2375" w:rsidRDefault="003F2375">
      <w:pPr>
        <w:sectPr w:rsidR="003F2375">
          <w:footerReference w:type="default" r:id="rId7"/>
          <w:type w:val="continuous"/>
          <w:pgSz w:w="11900" w:h="16840"/>
          <w:pgMar w:top="700" w:right="840" w:bottom="880" w:left="1120" w:header="720" w:footer="691" w:gutter="0"/>
          <w:pgNumType w:start="1"/>
          <w:cols w:space="720"/>
        </w:sectPr>
      </w:pPr>
    </w:p>
    <w:p w14:paraId="327D0F3A" w14:textId="77777777" w:rsidR="003F2375" w:rsidRDefault="00563FB7">
      <w:pPr>
        <w:pStyle w:val="Textkrper"/>
        <w:spacing w:before="78"/>
        <w:ind w:left="298" w:right="286" w:hanging="1"/>
        <w:jc w:val="both"/>
      </w:pPr>
      <w:r>
        <w:lastRenderedPageBreak/>
        <w:t>Am Monitor wird zu Beginn des Arbeitstages die Sonde der low flow Sidestream Co² Kapnografie ausgetauscht und nach jedem Patienten im ausgeschalteten Zustand einer Wischdesinfektion unterzogen. Die Sonde wird nach jedem Arbeitstag</w:t>
      </w:r>
      <w:r>
        <w:rPr>
          <w:spacing w:val="2"/>
        </w:rPr>
        <w:t xml:space="preserve"> </w:t>
      </w:r>
      <w:r>
        <w:t>verworfen.</w:t>
      </w:r>
    </w:p>
    <w:p w14:paraId="02BDFA64" w14:textId="77777777" w:rsidR="003F2375" w:rsidRDefault="003F2375">
      <w:pPr>
        <w:pStyle w:val="Textkrper"/>
        <w:spacing w:before="10"/>
        <w:rPr>
          <w:sz w:val="19"/>
        </w:rPr>
      </w:pPr>
    </w:p>
    <w:p w14:paraId="4D3B8B65" w14:textId="77777777" w:rsidR="003F2375" w:rsidRDefault="00563FB7">
      <w:pPr>
        <w:pStyle w:val="berschrift2"/>
        <w:jc w:val="both"/>
        <w:rPr>
          <w:u w:val="none"/>
        </w:rPr>
      </w:pPr>
      <w:r>
        <w:rPr>
          <w:u w:val="thick"/>
        </w:rPr>
        <w:t>EZ EM CO2 Eff</w:t>
      </w:r>
      <w:r>
        <w:rPr>
          <w:u w:val="thick"/>
        </w:rPr>
        <w:t>icient</w:t>
      </w:r>
    </w:p>
    <w:p w14:paraId="005F7CF6" w14:textId="77777777" w:rsidR="003F2375" w:rsidRDefault="00563FB7">
      <w:pPr>
        <w:pStyle w:val="Textkrper"/>
        <w:spacing w:before="1"/>
        <w:ind w:left="298" w:right="284" w:hanging="1"/>
        <w:jc w:val="both"/>
      </w:pPr>
      <w:r>
        <w:t>Am EZ EM CO2 Efficient wird der zur Wassersprühflasche führende singleuse CO² Schlauch mit zugehörigem 2µ Filter getauscht sofern dieser Länger als eine Arbeitswoche in Gebrauch war.</w:t>
      </w:r>
    </w:p>
    <w:p w14:paraId="6A49969F" w14:textId="77777777" w:rsidR="003F2375" w:rsidRDefault="003F2375">
      <w:pPr>
        <w:pStyle w:val="Textkrper"/>
        <w:spacing w:before="10"/>
        <w:rPr>
          <w:sz w:val="19"/>
        </w:rPr>
      </w:pPr>
    </w:p>
    <w:p w14:paraId="242446E1" w14:textId="77777777" w:rsidR="003F2375" w:rsidRDefault="00563FB7">
      <w:pPr>
        <w:pStyle w:val="berschrift2"/>
        <w:jc w:val="both"/>
        <w:rPr>
          <w:u w:val="none"/>
        </w:rPr>
      </w:pPr>
      <w:r>
        <w:rPr>
          <w:u w:val="thick"/>
        </w:rPr>
        <w:t>Olympus Scope Guide UDP</w:t>
      </w:r>
    </w:p>
    <w:p w14:paraId="1EBFE3EE" w14:textId="77777777" w:rsidR="003F2375" w:rsidRDefault="00563FB7">
      <w:pPr>
        <w:pStyle w:val="Textkrper"/>
        <w:spacing w:before="1"/>
        <w:ind w:left="298"/>
        <w:jc w:val="both"/>
      </w:pPr>
      <w:r>
        <w:t>Die Inbetriebnahme erfolgt am Tagesbeginn</w:t>
      </w:r>
      <w:r>
        <w:t xml:space="preserve"> durch einschalten des Gerätes.</w:t>
      </w:r>
    </w:p>
    <w:p w14:paraId="4297F229" w14:textId="77777777" w:rsidR="003F2375" w:rsidRDefault="00563FB7">
      <w:pPr>
        <w:pStyle w:val="Textkrper"/>
        <w:ind w:left="298" w:right="288"/>
        <w:jc w:val="both"/>
      </w:pPr>
      <w:r>
        <w:t>Die Sauberkeit und Keimfreiheit durch eine Wischdesinfektion mit „Ecolab - Incidin Liquid“ des Detektorschirmes ist nach jeder Untersuchung, bedingt durch die unmittelbare Nähe zum Patienten, wiederherzustellen. Am Tagesende</w:t>
      </w:r>
      <w:r>
        <w:t xml:space="preserve"> wird die Gesamte Einheit einer Wischdesinfektion unterzogen.</w:t>
      </w:r>
    </w:p>
    <w:p w14:paraId="5A31DA6C" w14:textId="77777777" w:rsidR="003F2375" w:rsidRDefault="003F2375">
      <w:pPr>
        <w:pStyle w:val="Textkrper"/>
        <w:spacing w:before="11"/>
        <w:rPr>
          <w:sz w:val="19"/>
        </w:rPr>
      </w:pPr>
    </w:p>
    <w:p w14:paraId="45953EAC" w14:textId="77777777" w:rsidR="003F2375" w:rsidRDefault="00563FB7">
      <w:pPr>
        <w:pStyle w:val="berschrift2"/>
        <w:rPr>
          <w:u w:val="none"/>
        </w:rPr>
      </w:pPr>
      <w:r>
        <w:rPr>
          <w:u w:val="thick"/>
        </w:rPr>
        <w:t>Erbe HF Einheit &amp; Argon Plasma Coagulator</w:t>
      </w:r>
    </w:p>
    <w:p w14:paraId="0992135F" w14:textId="77777777" w:rsidR="003F2375" w:rsidRDefault="00563FB7">
      <w:pPr>
        <w:pStyle w:val="Textkrper"/>
        <w:ind w:left="298"/>
      </w:pPr>
      <w:r>
        <w:t>Die Inbetriebnahme erfolgt am Tagesbeginn durch einschalten der Geräte.</w:t>
      </w:r>
    </w:p>
    <w:p w14:paraId="43FDD08B" w14:textId="77777777" w:rsidR="003F2375" w:rsidRDefault="00563FB7">
      <w:pPr>
        <w:pStyle w:val="Textkrper"/>
        <w:spacing w:before="1"/>
        <w:ind w:left="298" w:right="23"/>
      </w:pPr>
      <w:r>
        <w:t>Die Sauberkeit und Keimfreiheit durch eine Wischdesinfektion der Geräte mit „Ecolab - Incidin Liquid“ ist nach jeder Verwendung, wiederherzustellen.</w:t>
      </w:r>
    </w:p>
    <w:p w14:paraId="7B3644B3" w14:textId="77777777" w:rsidR="003F2375" w:rsidRDefault="00563FB7">
      <w:pPr>
        <w:pStyle w:val="Textkrper"/>
        <w:spacing w:before="1"/>
        <w:ind w:left="298"/>
      </w:pPr>
      <w:r>
        <w:t>Am Tagesende wird die Gesamte Einheit einer Wischdesinfektion unterzogen.</w:t>
      </w:r>
    </w:p>
    <w:sectPr w:rsidR="003F2375">
      <w:pgSz w:w="11900" w:h="16840"/>
      <w:pgMar w:top="1340" w:right="840" w:bottom="880" w:left="11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A97A" w14:textId="77777777" w:rsidR="00000000" w:rsidRDefault="00563FB7">
      <w:r>
        <w:separator/>
      </w:r>
    </w:p>
  </w:endnote>
  <w:endnote w:type="continuationSeparator" w:id="0">
    <w:p w14:paraId="059BD2F5" w14:textId="77777777" w:rsidR="00000000" w:rsidRDefault="0056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4E50" w14:textId="77777777" w:rsidR="003F2375" w:rsidRDefault="00563FB7">
    <w:pPr>
      <w:pStyle w:val="Textkrper"/>
      <w:spacing w:line="14" w:lineRule="auto"/>
    </w:pPr>
    <w:r>
      <w:pict w14:anchorId="277C5CB4">
        <v:shapetype id="_x0000_t202" coordsize="21600,21600" o:spt="202" path="m,l,21600r21600,l21600,xe">
          <v:stroke joinstyle="miter"/>
          <v:path gradientshapeok="t" o:connecttype="rect"/>
        </v:shapetype>
        <v:shape id="_x0000_s2049" type="#_x0000_t202" style="position:absolute;margin-left:490.9pt;margin-top:796.45pt;width:48.85pt;height:11pt;z-index:-251658752;mso-position-horizontal-relative:page;mso-position-vertical-relative:page" filled="f" stroked="f">
          <v:textbox inset="0,0,0,0">
            <w:txbxContent>
              <w:p w14:paraId="3CA90D6D" w14:textId="77777777" w:rsidR="003F2375" w:rsidRDefault="00563FB7">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2476" w14:textId="77777777" w:rsidR="00000000" w:rsidRDefault="00563FB7">
      <w:r>
        <w:separator/>
      </w:r>
    </w:p>
  </w:footnote>
  <w:footnote w:type="continuationSeparator" w:id="0">
    <w:p w14:paraId="7458A3A1" w14:textId="77777777" w:rsidR="00000000" w:rsidRDefault="0056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A5368"/>
    <w:multiLevelType w:val="hybridMultilevel"/>
    <w:tmpl w:val="0EC62638"/>
    <w:lvl w:ilvl="0" w:tplc="AFECA6FE">
      <w:start w:val="1"/>
      <w:numFmt w:val="decimal"/>
      <w:lvlText w:val="%1"/>
      <w:lvlJc w:val="left"/>
      <w:pPr>
        <w:ind w:left="730" w:hanging="432"/>
        <w:jc w:val="left"/>
      </w:pPr>
      <w:rPr>
        <w:rFonts w:hint="default"/>
        <w:w w:val="100"/>
      </w:rPr>
    </w:lvl>
    <w:lvl w:ilvl="1" w:tplc="DF12481C">
      <w:numFmt w:val="bullet"/>
      <w:lvlText w:val="•"/>
      <w:lvlJc w:val="left"/>
      <w:pPr>
        <w:ind w:left="1660" w:hanging="432"/>
      </w:pPr>
      <w:rPr>
        <w:rFonts w:hint="default"/>
      </w:rPr>
    </w:lvl>
    <w:lvl w:ilvl="2" w:tplc="B038EB66">
      <w:numFmt w:val="bullet"/>
      <w:lvlText w:val="•"/>
      <w:lvlJc w:val="left"/>
      <w:pPr>
        <w:ind w:left="2580" w:hanging="432"/>
      </w:pPr>
      <w:rPr>
        <w:rFonts w:hint="default"/>
      </w:rPr>
    </w:lvl>
    <w:lvl w:ilvl="3" w:tplc="57E67A50">
      <w:numFmt w:val="bullet"/>
      <w:lvlText w:val="•"/>
      <w:lvlJc w:val="left"/>
      <w:pPr>
        <w:ind w:left="3500" w:hanging="432"/>
      </w:pPr>
      <w:rPr>
        <w:rFonts w:hint="default"/>
      </w:rPr>
    </w:lvl>
    <w:lvl w:ilvl="4" w:tplc="C362F912">
      <w:numFmt w:val="bullet"/>
      <w:lvlText w:val="•"/>
      <w:lvlJc w:val="left"/>
      <w:pPr>
        <w:ind w:left="4420" w:hanging="432"/>
      </w:pPr>
      <w:rPr>
        <w:rFonts w:hint="default"/>
      </w:rPr>
    </w:lvl>
    <w:lvl w:ilvl="5" w:tplc="AE6E23DE">
      <w:numFmt w:val="bullet"/>
      <w:lvlText w:val="•"/>
      <w:lvlJc w:val="left"/>
      <w:pPr>
        <w:ind w:left="5340" w:hanging="432"/>
      </w:pPr>
      <w:rPr>
        <w:rFonts w:hint="default"/>
      </w:rPr>
    </w:lvl>
    <w:lvl w:ilvl="6" w:tplc="880C9E6C">
      <w:numFmt w:val="bullet"/>
      <w:lvlText w:val="•"/>
      <w:lvlJc w:val="left"/>
      <w:pPr>
        <w:ind w:left="6260" w:hanging="432"/>
      </w:pPr>
      <w:rPr>
        <w:rFonts w:hint="default"/>
      </w:rPr>
    </w:lvl>
    <w:lvl w:ilvl="7" w:tplc="29483DD6">
      <w:numFmt w:val="bullet"/>
      <w:lvlText w:val="•"/>
      <w:lvlJc w:val="left"/>
      <w:pPr>
        <w:ind w:left="7180" w:hanging="432"/>
      </w:pPr>
      <w:rPr>
        <w:rFonts w:hint="default"/>
      </w:rPr>
    </w:lvl>
    <w:lvl w:ilvl="8" w:tplc="8FA63648">
      <w:numFmt w:val="bullet"/>
      <w:lvlText w:val="•"/>
      <w:lvlJc w:val="left"/>
      <w:pPr>
        <w:ind w:left="8100"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F2375"/>
    <w:rsid w:val="003F2375"/>
    <w:rsid w:val="00563F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D9ACA1"/>
  <w15:docId w15:val="{3ADE587D-3615-4322-AB6C-D0FBCA7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730" w:hanging="433"/>
      <w:outlineLvl w:val="0"/>
    </w:pPr>
    <w:rPr>
      <w:b/>
      <w:bCs/>
    </w:rPr>
  </w:style>
  <w:style w:type="paragraph" w:styleId="berschrift2">
    <w:name w:val="heading 2"/>
    <w:basedOn w:val="Standard"/>
    <w:uiPriority w:val="9"/>
    <w:unhideWhenUsed/>
    <w:qFormat/>
    <w:pPr>
      <w:ind w:left="298"/>
      <w:outlineLvl w:val="1"/>
    </w:pPr>
    <w:rPr>
      <w:b/>
      <w:bCs/>
      <w:sz w:val="20"/>
      <w:szCs w:val="2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30" w:hanging="43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3104</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10 Vorbereitung des Endoskopie-Turms.docx</dc:title>
  <dc:creator>user</dc:creator>
  <cp:lastModifiedBy>Gerald Oppeck</cp:lastModifiedBy>
  <cp:revision>2</cp:revision>
  <dcterms:created xsi:type="dcterms:W3CDTF">2020-02-24T09:24:00Z</dcterms:created>
  <dcterms:modified xsi:type="dcterms:W3CDTF">2021-06-04T06:55:00Z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