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9C25" w14:textId="77777777" w:rsidR="00162E1C" w:rsidRDefault="00260A94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5DC8CC9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style="mso-next-textbox:#_x0000_s1028" inset="0,0,0,0">
                <w:txbxContent>
                  <w:p w14:paraId="61E53875" w14:textId="77777777" w:rsidR="00162E1C" w:rsidRDefault="00162E1C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1B3C3C9" w14:textId="77777777" w:rsidR="00162E1C" w:rsidRDefault="00162E1C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586AC358" w14:textId="77777777" w:rsidR="00162E1C" w:rsidRDefault="00260A94">
                    <w:pPr>
                      <w:ind w:left="4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14 – Allgemeine Vorbereitungen in der Endoskopie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style="mso-next-textbox:#_x0000_s1027" inset="0,0,0,0">
                <w:txbxContent>
                  <w:p w14:paraId="0E5C18DF" w14:textId="77777777" w:rsidR="00162E1C" w:rsidRDefault="00162E1C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7E32D908" w14:textId="77777777" w:rsidR="00162E1C" w:rsidRDefault="00162E1C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7FBD06AE" w14:textId="06C19F30" w:rsidR="00162E1C" w:rsidRDefault="00260A94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1CD91C26" w14:textId="77777777" w:rsidR="00162E1C" w:rsidRDefault="00162E1C">
      <w:pPr>
        <w:pStyle w:val="Textkrper"/>
        <w:spacing w:before="8"/>
        <w:ind w:left="0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162E1C" w14:paraId="03DDC5A3" w14:textId="77777777">
        <w:trPr>
          <w:trHeight w:val="371"/>
        </w:trPr>
        <w:tc>
          <w:tcPr>
            <w:tcW w:w="1582" w:type="dxa"/>
          </w:tcPr>
          <w:p w14:paraId="50199613" w14:textId="77777777" w:rsidR="00162E1C" w:rsidRDefault="00260A94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009F408E" w14:textId="13FE2343" w:rsidR="00162E1C" w:rsidRDefault="00260A94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787C3F68" w14:textId="77777777" w:rsidR="00162E1C" w:rsidRDefault="00260A94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51995EFC" w14:textId="77777777" w:rsidR="00162E1C" w:rsidRDefault="00162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2E1C" w14:paraId="27B2CCBE" w14:textId="77777777">
        <w:trPr>
          <w:trHeight w:val="335"/>
        </w:trPr>
        <w:tc>
          <w:tcPr>
            <w:tcW w:w="1582" w:type="dxa"/>
          </w:tcPr>
          <w:p w14:paraId="6DF3BAC1" w14:textId="77777777" w:rsidR="00162E1C" w:rsidRDefault="00260A94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3A507553" w14:textId="3981722C" w:rsidR="00162E1C" w:rsidRDefault="00260A94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3BB1CAB1" w14:textId="77777777" w:rsidR="00162E1C" w:rsidRDefault="00260A94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2EB9C477" w14:textId="77777777" w:rsidR="00162E1C" w:rsidRDefault="00162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2E1C" w14:paraId="1DF1424B" w14:textId="77777777">
        <w:trPr>
          <w:trHeight w:val="340"/>
        </w:trPr>
        <w:tc>
          <w:tcPr>
            <w:tcW w:w="1582" w:type="dxa"/>
          </w:tcPr>
          <w:p w14:paraId="116561C1" w14:textId="77777777" w:rsidR="00162E1C" w:rsidRDefault="00260A94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7963DC96" w14:textId="77777777" w:rsidR="00162E1C" w:rsidRDefault="00260A94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07125E88" w14:textId="77777777" w:rsidR="00162E1C" w:rsidRDefault="00162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66C13A95" w14:textId="77777777" w:rsidR="00162E1C" w:rsidRDefault="00162E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88FAC2" w14:textId="77777777" w:rsidR="00162E1C" w:rsidRDefault="00162E1C">
      <w:pPr>
        <w:pStyle w:val="Textkrper"/>
        <w:spacing w:before="2"/>
        <w:ind w:left="0"/>
        <w:rPr>
          <w:rFonts w:ascii="Times New Roman"/>
          <w:sz w:val="24"/>
        </w:rPr>
      </w:pPr>
    </w:p>
    <w:p w14:paraId="6108B134" w14:textId="77777777" w:rsidR="00162E1C" w:rsidRDefault="00260A94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spacing w:before="94" w:line="240" w:lineRule="auto"/>
        <w:ind w:hanging="433"/>
      </w:pPr>
      <w:r>
        <w:t>Zweck</w:t>
      </w:r>
    </w:p>
    <w:p w14:paraId="2582F1BB" w14:textId="77777777" w:rsidR="00162E1C" w:rsidRDefault="00162E1C">
      <w:pPr>
        <w:pStyle w:val="Textkrper"/>
        <w:spacing w:before="4"/>
        <w:ind w:left="0"/>
        <w:rPr>
          <w:b/>
          <w:sz w:val="21"/>
        </w:rPr>
      </w:pPr>
    </w:p>
    <w:p w14:paraId="2B80649B" w14:textId="77777777" w:rsidR="00162E1C" w:rsidRDefault="00260A94">
      <w:pPr>
        <w:pStyle w:val="Textkrper"/>
      </w:pPr>
      <w:r>
        <w:t>Diese Standard – Arbeitsanweisung (SAA) regelt die allgemeinen Vorbereitung in der Endoskopie</w:t>
      </w:r>
    </w:p>
    <w:p w14:paraId="77A067B2" w14:textId="77777777" w:rsidR="00162E1C" w:rsidRDefault="00162E1C">
      <w:pPr>
        <w:pStyle w:val="Textkrper"/>
        <w:ind w:left="0"/>
        <w:rPr>
          <w:sz w:val="22"/>
        </w:rPr>
      </w:pPr>
    </w:p>
    <w:p w14:paraId="5FB70C40" w14:textId="77777777" w:rsidR="00162E1C" w:rsidRDefault="00162E1C">
      <w:pPr>
        <w:pStyle w:val="Textkrper"/>
        <w:spacing w:before="4"/>
        <w:ind w:left="0"/>
        <w:rPr>
          <w:sz w:val="19"/>
        </w:rPr>
      </w:pPr>
    </w:p>
    <w:p w14:paraId="0C5DE55F" w14:textId="77777777" w:rsidR="00162E1C" w:rsidRDefault="00260A94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spacing w:before="1" w:line="240" w:lineRule="auto"/>
        <w:ind w:hanging="433"/>
      </w:pPr>
      <w:r>
        <w:t>Verantwortlichkeiten</w:t>
      </w:r>
    </w:p>
    <w:p w14:paraId="09351321" w14:textId="77777777" w:rsidR="00162E1C" w:rsidRDefault="00162E1C">
      <w:pPr>
        <w:pStyle w:val="Textkrper"/>
        <w:spacing w:before="4"/>
        <w:ind w:left="0"/>
        <w:rPr>
          <w:b/>
          <w:sz w:val="21"/>
        </w:rPr>
      </w:pPr>
    </w:p>
    <w:p w14:paraId="542B9382" w14:textId="77777777" w:rsidR="00162E1C" w:rsidRDefault="00260A94">
      <w:pPr>
        <w:pStyle w:val="Textkrper"/>
      </w:pPr>
      <w:r>
        <w:t>Mitarbeiter/innen in der Endoskopie, die die erforderliche Ausbildung, Kenntnis und Erfahrung haben</w:t>
      </w:r>
    </w:p>
    <w:p w14:paraId="26C6B6BF" w14:textId="77777777" w:rsidR="00162E1C" w:rsidRDefault="00162E1C">
      <w:pPr>
        <w:pStyle w:val="Textkrper"/>
        <w:spacing w:before="10"/>
        <w:ind w:left="0"/>
        <w:rPr>
          <w:sz w:val="19"/>
        </w:rPr>
      </w:pPr>
    </w:p>
    <w:p w14:paraId="305D9308" w14:textId="77777777" w:rsidR="00162E1C" w:rsidRDefault="00260A94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spacing w:before="1" w:line="500" w:lineRule="atLeast"/>
        <w:ind w:left="298" w:right="7738" w:firstLine="0"/>
      </w:pPr>
      <w:r>
        <w:rPr>
          <w:spacing w:val="-1"/>
        </w:rPr>
        <w:t xml:space="preserve">Durchführung </w:t>
      </w:r>
      <w:r>
        <w:t>Sauerstoff</w:t>
      </w:r>
    </w:p>
    <w:p w14:paraId="10DE64FD" w14:textId="77777777" w:rsidR="00162E1C" w:rsidRDefault="00260A94">
      <w:pPr>
        <w:pStyle w:val="Textkrper"/>
        <w:ind w:right="494"/>
      </w:pPr>
      <w:r>
        <w:t>Hauptventil der Sauerstoffflasche öffnen und Restdruck kontrollieren, sobald sich der Anzeiger im roten Bereich befindet sollte die</w:t>
      </w:r>
      <w:r>
        <w:t xml:space="preserve"> Flasche getauscht werden um die kontinuierliche Sauerstoffversorgung des Patienten zu gewährleisten und eine vorzeitige Innenkorrosion der Flasche zu vermeiden.</w:t>
      </w:r>
    </w:p>
    <w:p w14:paraId="3ED4F189" w14:textId="77777777" w:rsidR="00162E1C" w:rsidRDefault="00260A94">
      <w:pPr>
        <w:pStyle w:val="Textkrper"/>
        <w:ind w:right="311"/>
      </w:pPr>
      <w:r>
        <w:t>Zu Beginn des Arbeitstages ist eine „AquaPak – Hudson RCI“ zur Befeuchtung der Sauerstoffanger</w:t>
      </w:r>
      <w:r>
        <w:t>eicherten Luft des Patienten mittel Sauerstoffmaske, anzubringen und mit dem aktuellen Datum zu versehen – dieses AquaPak darf 24 Stunden verwendet werden.</w:t>
      </w:r>
    </w:p>
    <w:p w14:paraId="0A42F462" w14:textId="77777777" w:rsidR="00162E1C" w:rsidRDefault="00162E1C">
      <w:pPr>
        <w:pStyle w:val="Textkrper"/>
        <w:spacing w:before="10"/>
        <w:ind w:left="0"/>
        <w:rPr>
          <w:sz w:val="19"/>
        </w:rPr>
      </w:pPr>
    </w:p>
    <w:p w14:paraId="45A5FE63" w14:textId="77777777" w:rsidR="00162E1C" w:rsidRDefault="00260A94">
      <w:pPr>
        <w:pStyle w:val="berschrift1"/>
      </w:pPr>
      <w:r>
        <w:t>CO²-Flasche</w:t>
      </w:r>
    </w:p>
    <w:p w14:paraId="0C1CEAF1" w14:textId="77777777" w:rsidR="00162E1C" w:rsidRDefault="00260A94">
      <w:pPr>
        <w:pStyle w:val="Textkrper"/>
        <w:ind w:right="451"/>
      </w:pPr>
      <w:r>
        <w:t>CO²Sufficient am Endoskopie-Turm einschalten und Hauptventil der CO²-Flasche öffnen, Re</w:t>
      </w:r>
      <w:r>
        <w:t>stdruck der Flasche am CO²Sufficient ablesen.</w:t>
      </w:r>
    </w:p>
    <w:p w14:paraId="4C6DE442" w14:textId="77777777" w:rsidR="00162E1C" w:rsidRDefault="00260A94">
      <w:pPr>
        <w:pStyle w:val="Textkrper"/>
        <w:ind w:right="784"/>
      </w:pPr>
      <w:r>
        <w:t>Sind nicht alle Balken der Anzeige sichtbar muss die Flasche vor dem nächsten Untersuchungsstart gewechselt werden.</w:t>
      </w:r>
    </w:p>
    <w:p w14:paraId="2EDAA779" w14:textId="77777777" w:rsidR="00162E1C" w:rsidRDefault="00162E1C">
      <w:pPr>
        <w:pStyle w:val="Textkrper"/>
        <w:spacing w:before="1"/>
        <w:ind w:left="0"/>
      </w:pPr>
    </w:p>
    <w:p w14:paraId="15578B3A" w14:textId="77777777" w:rsidR="00162E1C" w:rsidRDefault="00260A94">
      <w:pPr>
        <w:pStyle w:val="berschrift1"/>
        <w:spacing w:before="1"/>
      </w:pPr>
      <w:r>
        <w:t>Bereich – Aufbereitung</w:t>
      </w:r>
    </w:p>
    <w:p w14:paraId="5A84E15F" w14:textId="77777777" w:rsidR="00162E1C" w:rsidRDefault="00260A94">
      <w:pPr>
        <w:pStyle w:val="Textkrper"/>
        <w:ind w:right="311"/>
      </w:pPr>
      <w:r>
        <w:t>Die Inbetriebnahme erfolgt mit einer Wischdesinfektion der Arbeitsfläc</w:t>
      </w:r>
      <w:r>
        <w:t>he die im Fall einer späteren Kontamination unverzüglich zu wiederholen ist um eine Verschleppung dieser und deren Auswirkungen zu unterbinden.</w:t>
      </w:r>
    </w:p>
    <w:p w14:paraId="36C6E748" w14:textId="77777777" w:rsidR="00162E1C" w:rsidRDefault="00162E1C">
      <w:pPr>
        <w:pStyle w:val="Textkrper"/>
        <w:spacing w:before="10"/>
        <w:ind w:left="0"/>
        <w:rPr>
          <w:sz w:val="19"/>
        </w:rPr>
      </w:pPr>
    </w:p>
    <w:p w14:paraId="07A392F8" w14:textId="77777777" w:rsidR="00162E1C" w:rsidRDefault="00260A94">
      <w:pPr>
        <w:pStyle w:val="berschrift1"/>
        <w:spacing w:line="240" w:lineRule="auto"/>
      </w:pPr>
      <w:r>
        <w:t>RGD-E Maschine</w:t>
      </w:r>
    </w:p>
    <w:p w14:paraId="2949F775" w14:textId="77777777" w:rsidR="00162E1C" w:rsidRDefault="00260A94">
      <w:pPr>
        <w:pStyle w:val="Textkrper"/>
        <w:spacing w:before="1"/>
      </w:pPr>
      <w:r>
        <w:t>Ist jeden Morgen auf eventuell beinhaltete Geräte vom Vortag zu überprüfen (Endoskope, etc.).</w:t>
      </w:r>
    </w:p>
    <w:p w14:paraId="15A7024C" w14:textId="77777777" w:rsidR="00162E1C" w:rsidRDefault="00162E1C">
      <w:pPr>
        <w:pStyle w:val="Textkrper"/>
        <w:spacing w:before="1"/>
        <w:ind w:left="0"/>
      </w:pPr>
    </w:p>
    <w:p w14:paraId="430FD954" w14:textId="77777777" w:rsidR="00162E1C" w:rsidRDefault="00260A94">
      <w:pPr>
        <w:pStyle w:val="berschrift1"/>
      </w:pPr>
      <w:r>
        <w:t>Volle Maschine</w:t>
      </w:r>
    </w:p>
    <w:p w14:paraId="52113C70" w14:textId="77777777" w:rsidR="00162E1C" w:rsidRDefault="00260A94">
      <w:pPr>
        <w:pStyle w:val="Textkrper"/>
        <w:ind w:right="694"/>
      </w:pPr>
      <w:r>
        <w:t>Vor dem Ausräumen der RGD-E Maschine ist mittels RGD-E – Protokoll sicherzustellen, dass das Aufbereitungsprogramm ordnungsgemäß abgelaufen ist un</w:t>
      </w:r>
      <w:r>
        <w:t>d der Inhalt der Maschine zusätzlich einer visuellen und olfaktorischen Prüfung auf Sauberkeit zu unterziehen.</w:t>
      </w:r>
    </w:p>
    <w:p w14:paraId="7A48751E" w14:textId="77777777" w:rsidR="00162E1C" w:rsidRDefault="00260A94">
      <w:pPr>
        <w:pStyle w:val="Textkrper"/>
        <w:ind w:right="994"/>
      </w:pPr>
      <w:r>
        <w:t>Endoskope sind nach positiver Überprüfung im Endoskopaufbewahrungsschrank, nach SAA 05 unterzubringen, Fällt eine der beiden Überprüfungen negati</w:t>
      </w:r>
      <w:r>
        <w:t>v aus, muss der gesamte Inhalt dieser Maschine einer neuerlichen RGD-E Aufbereitung unterzogen werden.</w:t>
      </w:r>
    </w:p>
    <w:p w14:paraId="48C1F755" w14:textId="77777777" w:rsidR="00162E1C" w:rsidRDefault="00260A94">
      <w:pPr>
        <w:pStyle w:val="Textkrper"/>
        <w:ind w:right="1841"/>
      </w:pPr>
      <w:r>
        <w:t>Dazu wird der Gesamte Korb der Maschine entfernt und das morgentlich stattfindende Selbstdesinfektionsprogramms mit der Programmnummer – 7 gestartet. (Vo</w:t>
      </w:r>
      <w:r>
        <w:t>rsicht – kein Endoskopprogramm!)</w:t>
      </w:r>
    </w:p>
    <w:p w14:paraId="543A6666" w14:textId="77777777" w:rsidR="00162E1C" w:rsidRDefault="00162E1C">
      <w:pPr>
        <w:pStyle w:val="Textkrper"/>
        <w:spacing w:before="11"/>
        <w:ind w:left="0"/>
        <w:rPr>
          <w:sz w:val="19"/>
        </w:rPr>
      </w:pPr>
    </w:p>
    <w:p w14:paraId="5F772DD2" w14:textId="77777777" w:rsidR="00162E1C" w:rsidRDefault="00260A94">
      <w:pPr>
        <w:pStyle w:val="berschrift1"/>
      </w:pPr>
      <w:r>
        <w:t>Leere Maschine</w:t>
      </w:r>
    </w:p>
    <w:p w14:paraId="7A25B82A" w14:textId="77777777" w:rsidR="00162E1C" w:rsidRDefault="00260A94">
      <w:pPr>
        <w:pStyle w:val="Textkrper"/>
        <w:ind w:right="696"/>
      </w:pPr>
      <w:r>
        <w:t>Selbstdesinfektionsprogramms mit der Programmnummer – 7 starten sofern dieses nicht schon beim Tageswechsel um Mitternacht automatisch von der Maschine gestartet wurde. (Vorsicht – kein Endoskopprogramm!) Ge</w:t>
      </w:r>
      <w:r>
        <w:t>rätekorb verbleibt in der Maschine.</w:t>
      </w:r>
    </w:p>
    <w:p w14:paraId="14170C29" w14:textId="77777777" w:rsidR="00162E1C" w:rsidRDefault="00162E1C">
      <w:pPr>
        <w:sectPr w:rsidR="00162E1C">
          <w:footerReference w:type="default" r:id="rId7"/>
          <w:type w:val="continuous"/>
          <w:pgSz w:w="11900" w:h="16840"/>
          <w:pgMar w:top="700" w:right="840" w:bottom="880" w:left="1120" w:header="720" w:footer="691" w:gutter="0"/>
          <w:pgNumType w:start="1"/>
          <w:cols w:space="720"/>
        </w:sectPr>
      </w:pPr>
    </w:p>
    <w:p w14:paraId="533A3FC2" w14:textId="77777777" w:rsidR="00162E1C" w:rsidRDefault="00260A94">
      <w:pPr>
        <w:pStyle w:val="berschrift1"/>
        <w:spacing w:before="69"/>
      </w:pPr>
      <w:r>
        <w:lastRenderedPageBreak/>
        <w:t>Arbeitsfläche</w:t>
      </w:r>
    </w:p>
    <w:p w14:paraId="7CACDE86" w14:textId="77777777" w:rsidR="00162E1C" w:rsidRDefault="00260A94">
      <w:pPr>
        <w:pStyle w:val="Textkrper"/>
        <w:ind w:right="449"/>
      </w:pPr>
      <w:r>
        <w:t>Ist sauber zu halten (siehe Bereich - Aufbereitung). Diese Arbeitsfläche dient primär der temporären Nutzung während und unmittelbar nach Untersuchungen und ist zwischen solchen Nutzungszeiträumen frei zu halten, einzig zulässige Ausnahmen stellen die Ster</w:t>
      </w:r>
      <w:r>
        <w:t>ilisation und Wartungsarbeiten dar!</w:t>
      </w:r>
    </w:p>
    <w:p w14:paraId="0EE1ADD9" w14:textId="77777777" w:rsidR="00162E1C" w:rsidRDefault="00260A94">
      <w:pPr>
        <w:pStyle w:val="Textkrper"/>
        <w:ind w:right="617"/>
      </w:pPr>
      <w:r>
        <w:t>Wie der Name schon erkennen lässt handelt es sich um eine Fläche auf der gearbeitet wird und keine Abstellfläche.</w:t>
      </w:r>
    </w:p>
    <w:p w14:paraId="02D7185B" w14:textId="77777777" w:rsidR="00162E1C" w:rsidRDefault="00162E1C">
      <w:pPr>
        <w:pStyle w:val="Textkrper"/>
        <w:spacing w:before="11"/>
        <w:ind w:left="0"/>
        <w:rPr>
          <w:sz w:val="19"/>
        </w:rPr>
      </w:pPr>
    </w:p>
    <w:p w14:paraId="10CE0938" w14:textId="77777777" w:rsidR="00162E1C" w:rsidRDefault="00260A94">
      <w:pPr>
        <w:pStyle w:val="berschrift1"/>
      </w:pPr>
      <w:r>
        <w:t>Utensilien- Schrank 1 – Hängeschrank</w:t>
      </w:r>
    </w:p>
    <w:p w14:paraId="4B4458A0" w14:textId="77777777" w:rsidR="00162E1C" w:rsidRDefault="00260A94">
      <w:pPr>
        <w:pStyle w:val="Textkrper"/>
        <w:ind w:right="377"/>
      </w:pPr>
      <w:r>
        <w:t>Befindet sich direkt über der Arbeitsfläche und beinhaltet singleuse</w:t>
      </w:r>
      <w:r>
        <w:t xml:space="preserve"> Zangen für Gastro- und Coloskopie, single- und wiederaufbereitbare Schlingen, Polypengreifzangen, leere Katheter zur Schlingenreparatur, Sprühkatheter, Fremdkörpergreifzangen, Etikettiermaschine, und weiteres zur Dokumentation des Autoklavs.</w:t>
      </w:r>
    </w:p>
    <w:p w14:paraId="1808D435" w14:textId="77777777" w:rsidR="00162E1C" w:rsidRDefault="00260A94">
      <w:pPr>
        <w:pStyle w:val="Textkrper"/>
        <w:spacing w:before="1"/>
        <w:ind w:right="861"/>
      </w:pPr>
      <w:r>
        <w:t>Dieser Schran</w:t>
      </w:r>
      <w:r>
        <w:t>k ist nur mit sauberen Händen oder Handschuhen zu öffnen und wird am Beginn des Arbeitstages einer äußerlichen Wischdesinfektion unterzogen, und auf Vollständigkeit – bzw. leere Fächer überprüft, welche obligatorisch vor jedem neuerlichen Befüllen einer Wi</w:t>
      </w:r>
      <w:r>
        <w:t>schdesinfektion unterzogen werden.</w:t>
      </w:r>
    </w:p>
    <w:sectPr w:rsidR="00162E1C">
      <w:pgSz w:w="11900" w:h="16840"/>
      <w:pgMar w:top="1580" w:right="840" w:bottom="880" w:left="11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6F35" w14:textId="77777777" w:rsidR="00000000" w:rsidRDefault="00260A94">
      <w:r>
        <w:separator/>
      </w:r>
    </w:p>
  </w:endnote>
  <w:endnote w:type="continuationSeparator" w:id="0">
    <w:p w14:paraId="47D37094" w14:textId="77777777" w:rsidR="00000000" w:rsidRDefault="002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A3F3" w14:textId="77777777" w:rsidR="00162E1C" w:rsidRDefault="00260A94">
    <w:pPr>
      <w:pStyle w:val="Textkrper"/>
      <w:spacing w:line="14" w:lineRule="auto"/>
      <w:ind w:left="0"/>
    </w:pPr>
    <w:r>
      <w:pict w14:anchorId="411F1E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9pt;margin-top:796.45pt;width:48.85pt;height:11pt;z-index:-251658752;mso-position-horizontal-relative:page;mso-position-vertical-relative:page" filled="f" stroked="f">
          <v:textbox inset="0,0,0,0">
            <w:txbxContent>
              <w:p w14:paraId="43A1302A" w14:textId="77777777" w:rsidR="00162E1C" w:rsidRDefault="00260A9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von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5BA" w14:textId="77777777" w:rsidR="00000000" w:rsidRDefault="00260A94">
      <w:r>
        <w:separator/>
      </w:r>
    </w:p>
  </w:footnote>
  <w:footnote w:type="continuationSeparator" w:id="0">
    <w:p w14:paraId="081CEC63" w14:textId="77777777" w:rsidR="00000000" w:rsidRDefault="0026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1F4F"/>
    <w:multiLevelType w:val="hybridMultilevel"/>
    <w:tmpl w:val="BDA013C0"/>
    <w:lvl w:ilvl="0" w:tplc="F83A8B40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6DEE520">
      <w:numFmt w:val="bullet"/>
      <w:lvlText w:val="•"/>
      <w:lvlJc w:val="left"/>
      <w:pPr>
        <w:ind w:left="1660" w:hanging="432"/>
      </w:pPr>
      <w:rPr>
        <w:rFonts w:hint="default"/>
      </w:rPr>
    </w:lvl>
    <w:lvl w:ilvl="2" w:tplc="B330BC9E">
      <w:numFmt w:val="bullet"/>
      <w:lvlText w:val="•"/>
      <w:lvlJc w:val="left"/>
      <w:pPr>
        <w:ind w:left="2580" w:hanging="432"/>
      </w:pPr>
      <w:rPr>
        <w:rFonts w:hint="default"/>
      </w:rPr>
    </w:lvl>
    <w:lvl w:ilvl="3" w:tplc="814017CC">
      <w:numFmt w:val="bullet"/>
      <w:lvlText w:val="•"/>
      <w:lvlJc w:val="left"/>
      <w:pPr>
        <w:ind w:left="3500" w:hanging="432"/>
      </w:pPr>
      <w:rPr>
        <w:rFonts w:hint="default"/>
      </w:rPr>
    </w:lvl>
    <w:lvl w:ilvl="4" w:tplc="3362A896">
      <w:numFmt w:val="bullet"/>
      <w:lvlText w:val="•"/>
      <w:lvlJc w:val="left"/>
      <w:pPr>
        <w:ind w:left="4420" w:hanging="432"/>
      </w:pPr>
      <w:rPr>
        <w:rFonts w:hint="default"/>
      </w:rPr>
    </w:lvl>
    <w:lvl w:ilvl="5" w:tplc="0B7AB682">
      <w:numFmt w:val="bullet"/>
      <w:lvlText w:val="•"/>
      <w:lvlJc w:val="left"/>
      <w:pPr>
        <w:ind w:left="5340" w:hanging="432"/>
      </w:pPr>
      <w:rPr>
        <w:rFonts w:hint="default"/>
      </w:rPr>
    </w:lvl>
    <w:lvl w:ilvl="6" w:tplc="4B8EE0C6">
      <w:numFmt w:val="bullet"/>
      <w:lvlText w:val="•"/>
      <w:lvlJc w:val="left"/>
      <w:pPr>
        <w:ind w:left="6260" w:hanging="432"/>
      </w:pPr>
      <w:rPr>
        <w:rFonts w:hint="default"/>
      </w:rPr>
    </w:lvl>
    <w:lvl w:ilvl="7" w:tplc="D1D44872">
      <w:numFmt w:val="bullet"/>
      <w:lvlText w:val="•"/>
      <w:lvlJc w:val="left"/>
      <w:pPr>
        <w:ind w:left="7180" w:hanging="432"/>
      </w:pPr>
      <w:rPr>
        <w:rFonts w:hint="default"/>
      </w:rPr>
    </w:lvl>
    <w:lvl w:ilvl="8" w:tplc="A5762028">
      <w:numFmt w:val="bullet"/>
      <w:lvlText w:val="•"/>
      <w:lvlJc w:val="left"/>
      <w:pPr>
        <w:ind w:left="8100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E1C"/>
    <w:rsid w:val="00162E1C"/>
    <w:rsid w:val="002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2EE911"/>
  <w15:docId w15:val="{90E80CFF-BE75-45A7-8C2D-0941E5CA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line="252" w:lineRule="exact"/>
      <w:ind w:left="29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98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730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14 Allgemeine Vorbereitungen in der Endoskopie.docx</dc:title>
  <dc:creator>user</dc:creator>
  <cp:lastModifiedBy>Gerald Oppeck</cp:lastModifiedBy>
  <cp:revision>2</cp:revision>
  <dcterms:created xsi:type="dcterms:W3CDTF">2020-02-24T09:43:00Z</dcterms:created>
  <dcterms:modified xsi:type="dcterms:W3CDTF">2021-06-04T06:57:00Z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