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6057" w14:textId="77777777" w:rsidR="00F1004B" w:rsidRDefault="009D2215">
      <w:pPr>
        <w:pStyle w:val="Textkrper"/>
        <w:ind w:left="90"/>
        <w:rPr>
          <w:rFonts w:ascii="Times New Roman"/>
        </w:rPr>
      </w:pPr>
      <w:r>
        <w:rPr>
          <w:rFonts w:ascii="Times New Roman"/>
        </w:rPr>
      </w:r>
      <w:r>
        <w:rPr>
          <w:rFonts w:ascii="Times New Roman"/>
        </w:rPr>
        <w:pict w14:anchorId="3BE8F82D">
          <v:group id="_x0000_s1027" style="width:488.3pt;height:84.05pt;mso-position-horizontal-relative:char;mso-position-vertical-relative:line" coordsize="9766,1681">
            <v:shapetype id="_x0000_t202" coordsize="21600,21600" o:spt="202" path="m,l,21600r21600,l21600,xe">
              <v:stroke joinstyle="miter"/>
              <v:path gradientshapeok="t" o:connecttype="rect"/>
            </v:shapetype>
            <v:shape id="_x0000_s1029" type="#_x0000_t202" style="position:absolute;left:2902;top:21;width:6842;height:1638" filled="f" strokeweight="2.16pt">
              <v:textbox inset="0,0,0,0">
                <w:txbxContent>
                  <w:p w14:paraId="0782F147" w14:textId="77777777" w:rsidR="00F1004B" w:rsidRDefault="00F1004B">
                    <w:pPr>
                      <w:rPr>
                        <w:rFonts w:ascii="Times New Roman"/>
                        <w:sz w:val="26"/>
                      </w:rPr>
                    </w:pPr>
                  </w:p>
                  <w:p w14:paraId="456EE0E6" w14:textId="77777777" w:rsidR="00F1004B" w:rsidRDefault="00F1004B">
                    <w:pPr>
                      <w:spacing w:before="4"/>
                      <w:rPr>
                        <w:rFonts w:ascii="Times New Roman"/>
                        <w:sz w:val="25"/>
                      </w:rPr>
                    </w:pPr>
                  </w:p>
                  <w:p w14:paraId="49B6A28F" w14:textId="77777777" w:rsidR="00F1004B" w:rsidRDefault="009D2215">
                    <w:pPr>
                      <w:spacing w:before="1"/>
                      <w:ind w:left="309"/>
                      <w:rPr>
                        <w:sz w:val="24"/>
                      </w:rPr>
                    </w:pPr>
                    <w:r>
                      <w:rPr>
                        <w:sz w:val="24"/>
                      </w:rPr>
                      <w:t>SAA 15 a – Medikamentenvorbereitung in der Endoskopie</w:t>
                    </w:r>
                  </w:p>
                </w:txbxContent>
              </v:textbox>
            </v:shape>
            <v:shape id="_x0000_s1028" type="#_x0000_t202" style="position:absolute;left:21;top:21;width:2881;height:1638" filled="f" strokeweight="2.16pt">
              <v:textbox inset="0,0,0,0">
                <w:txbxContent>
                  <w:p w14:paraId="20227FD3" w14:textId="77777777" w:rsidR="00F1004B" w:rsidRDefault="00F1004B">
                    <w:pPr>
                      <w:rPr>
                        <w:rFonts w:ascii="Times New Roman"/>
                        <w:sz w:val="24"/>
                      </w:rPr>
                    </w:pPr>
                  </w:p>
                  <w:p w14:paraId="668E927F" w14:textId="77777777" w:rsidR="00F1004B" w:rsidRDefault="00F1004B">
                    <w:pPr>
                      <w:rPr>
                        <w:rFonts w:ascii="Times New Roman"/>
                        <w:sz w:val="29"/>
                      </w:rPr>
                    </w:pPr>
                  </w:p>
                  <w:p w14:paraId="069711F8" w14:textId="4FF540A3" w:rsidR="00F1004B" w:rsidRDefault="009D2215">
                    <w:pPr>
                      <w:ind w:left="48"/>
                      <w:rPr>
                        <w:b/>
                      </w:rPr>
                    </w:pPr>
                    <w:r>
                      <w:rPr>
                        <w:b/>
                      </w:rPr>
                      <w:t>Ordination Dr. NN</w:t>
                    </w:r>
                  </w:p>
                </w:txbxContent>
              </v:textbox>
            </v:shape>
            <w10:anchorlock/>
          </v:group>
        </w:pict>
      </w:r>
    </w:p>
    <w:p w14:paraId="5A08D580" w14:textId="77777777" w:rsidR="00F1004B" w:rsidRDefault="00F1004B">
      <w:pPr>
        <w:pStyle w:val="Textkrper"/>
        <w:spacing w:before="3"/>
        <w:ind w:left="0"/>
        <w:rPr>
          <w:rFonts w:ascii="Times New Roman"/>
          <w:sz w:val="21"/>
        </w:rPr>
      </w:pPr>
    </w:p>
    <w:tbl>
      <w:tblPr>
        <w:tblStyle w:val="TableNormal"/>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82"/>
        <w:gridCol w:w="3241"/>
        <w:gridCol w:w="1416"/>
        <w:gridCol w:w="3404"/>
      </w:tblGrid>
      <w:tr w:rsidR="00F1004B" w14:paraId="18C19A00" w14:textId="77777777">
        <w:trPr>
          <w:trHeight w:val="371"/>
        </w:trPr>
        <w:tc>
          <w:tcPr>
            <w:tcW w:w="1582" w:type="dxa"/>
          </w:tcPr>
          <w:p w14:paraId="1FF37EEC" w14:textId="77777777" w:rsidR="00F1004B" w:rsidRDefault="009D2215">
            <w:pPr>
              <w:pStyle w:val="TableParagraph"/>
              <w:spacing w:before="94"/>
              <w:rPr>
                <w:sz w:val="16"/>
              </w:rPr>
            </w:pPr>
            <w:r>
              <w:rPr>
                <w:sz w:val="16"/>
              </w:rPr>
              <w:t>Erstellt:</w:t>
            </w:r>
          </w:p>
        </w:tc>
        <w:tc>
          <w:tcPr>
            <w:tcW w:w="3241" w:type="dxa"/>
          </w:tcPr>
          <w:p w14:paraId="5B58DB08" w14:textId="5F2FE1CA" w:rsidR="00F1004B" w:rsidRDefault="009D2215">
            <w:pPr>
              <w:pStyle w:val="TableParagraph"/>
              <w:spacing w:before="94"/>
              <w:rPr>
                <w:sz w:val="16"/>
              </w:rPr>
            </w:pPr>
            <w:r>
              <w:rPr>
                <w:sz w:val="16"/>
              </w:rPr>
              <w:t>NN</w:t>
            </w:r>
          </w:p>
        </w:tc>
        <w:tc>
          <w:tcPr>
            <w:tcW w:w="1416" w:type="dxa"/>
          </w:tcPr>
          <w:p w14:paraId="7AD79DB1" w14:textId="77777777" w:rsidR="00F1004B" w:rsidRDefault="009D2215">
            <w:pPr>
              <w:pStyle w:val="TableParagraph"/>
              <w:spacing w:before="94"/>
              <w:rPr>
                <w:sz w:val="16"/>
              </w:rPr>
            </w:pPr>
            <w:r>
              <w:rPr>
                <w:sz w:val="16"/>
              </w:rPr>
              <w:t>Unterschrift:</w:t>
            </w:r>
          </w:p>
        </w:tc>
        <w:tc>
          <w:tcPr>
            <w:tcW w:w="3404" w:type="dxa"/>
          </w:tcPr>
          <w:p w14:paraId="3CC97CB2" w14:textId="77777777" w:rsidR="00F1004B" w:rsidRDefault="00F1004B">
            <w:pPr>
              <w:pStyle w:val="TableParagraph"/>
              <w:ind w:left="0"/>
              <w:rPr>
                <w:rFonts w:ascii="Times New Roman"/>
                <w:sz w:val="18"/>
              </w:rPr>
            </w:pPr>
          </w:p>
        </w:tc>
      </w:tr>
      <w:tr w:rsidR="00F1004B" w14:paraId="0CC77514" w14:textId="77777777">
        <w:trPr>
          <w:trHeight w:val="335"/>
        </w:trPr>
        <w:tc>
          <w:tcPr>
            <w:tcW w:w="1582" w:type="dxa"/>
          </w:tcPr>
          <w:p w14:paraId="563DA39A" w14:textId="77777777" w:rsidR="00F1004B" w:rsidRDefault="009D2215">
            <w:pPr>
              <w:pStyle w:val="TableParagraph"/>
              <w:spacing w:before="75"/>
              <w:rPr>
                <w:sz w:val="16"/>
              </w:rPr>
            </w:pPr>
            <w:r>
              <w:rPr>
                <w:sz w:val="16"/>
              </w:rPr>
              <w:t>Freigegeben:</w:t>
            </w:r>
          </w:p>
        </w:tc>
        <w:tc>
          <w:tcPr>
            <w:tcW w:w="3241" w:type="dxa"/>
          </w:tcPr>
          <w:p w14:paraId="15BA2E3A" w14:textId="761BEDE6" w:rsidR="00F1004B" w:rsidRDefault="009D2215">
            <w:pPr>
              <w:pStyle w:val="TableParagraph"/>
              <w:spacing w:before="75"/>
              <w:rPr>
                <w:sz w:val="16"/>
              </w:rPr>
            </w:pPr>
            <w:r>
              <w:rPr>
                <w:sz w:val="16"/>
              </w:rPr>
              <w:t>Dr. NN</w:t>
            </w:r>
          </w:p>
        </w:tc>
        <w:tc>
          <w:tcPr>
            <w:tcW w:w="1416" w:type="dxa"/>
          </w:tcPr>
          <w:p w14:paraId="228C3466" w14:textId="77777777" w:rsidR="00F1004B" w:rsidRDefault="009D2215">
            <w:pPr>
              <w:pStyle w:val="TableParagraph"/>
              <w:spacing w:before="75"/>
              <w:rPr>
                <w:sz w:val="16"/>
              </w:rPr>
            </w:pPr>
            <w:r>
              <w:rPr>
                <w:sz w:val="16"/>
              </w:rPr>
              <w:t>Unterschrift:</w:t>
            </w:r>
          </w:p>
        </w:tc>
        <w:tc>
          <w:tcPr>
            <w:tcW w:w="3404" w:type="dxa"/>
          </w:tcPr>
          <w:p w14:paraId="77C2F1E9" w14:textId="77777777" w:rsidR="00F1004B" w:rsidRDefault="00F1004B">
            <w:pPr>
              <w:pStyle w:val="TableParagraph"/>
              <w:ind w:left="0"/>
              <w:rPr>
                <w:rFonts w:ascii="Times New Roman"/>
                <w:sz w:val="18"/>
              </w:rPr>
            </w:pPr>
          </w:p>
        </w:tc>
      </w:tr>
      <w:tr w:rsidR="00F1004B" w14:paraId="53014819" w14:textId="77777777">
        <w:trPr>
          <w:trHeight w:val="340"/>
        </w:trPr>
        <w:tc>
          <w:tcPr>
            <w:tcW w:w="1582" w:type="dxa"/>
          </w:tcPr>
          <w:p w14:paraId="5AE33670" w14:textId="77777777" w:rsidR="00F1004B" w:rsidRDefault="009D2215">
            <w:pPr>
              <w:pStyle w:val="TableParagraph"/>
              <w:spacing w:before="78"/>
              <w:rPr>
                <w:sz w:val="16"/>
              </w:rPr>
            </w:pPr>
            <w:r>
              <w:rPr>
                <w:sz w:val="16"/>
              </w:rPr>
              <w:t>Gültig ab:</w:t>
            </w:r>
          </w:p>
        </w:tc>
        <w:tc>
          <w:tcPr>
            <w:tcW w:w="3241" w:type="dxa"/>
          </w:tcPr>
          <w:p w14:paraId="59AC4D0A" w14:textId="77777777" w:rsidR="00F1004B" w:rsidRDefault="009D2215">
            <w:pPr>
              <w:pStyle w:val="TableParagraph"/>
              <w:spacing w:before="78"/>
              <w:rPr>
                <w:sz w:val="16"/>
              </w:rPr>
            </w:pPr>
            <w:r>
              <w:rPr>
                <w:sz w:val="16"/>
              </w:rPr>
              <w:t>August 2019</w:t>
            </w:r>
          </w:p>
        </w:tc>
        <w:tc>
          <w:tcPr>
            <w:tcW w:w="1416" w:type="dxa"/>
          </w:tcPr>
          <w:p w14:paraId="4214571E" w14:textId="77777777" w:rsidR="00F1004B" w:rsidRDefault="00F1004B">
            <w:pPr>
              <w:pStyle w:val="TableParagraph"/>
              <w:ind w:left="0"/>
              <w:rPr>
                <w:rFonts w:ascii="Times New Roman"/>
                <w:sz w:val="18"/>
              </w:rPr>
            </w:pPr>
          </w:p>
        </w:tc>
        <w:tc>
          <w:tcPr>
            <w:tcW w:w="3404" w:type="dxa"/>
          </w:tcPr>
          <w:p w14:paraId="215EF59D" w14:textId="77777777" w:rsidR="00F1004B" w:rsidRDefault="00F1004B">
            <w:pPr>
              <w:pStyle w:val="TableParagraph"/>
              <w:ind w:left="0"/>
              <w:rPr>
                <w:rFonts w:ascii="Times New Roman"/>
                <w:sz w:val="18"/>
              </w:rPr>
            </w:pPr>
          </w:p>
        </w:tc>
      </w:tr>
    </w:tbl>
    <w:p w14:paraId="7337CC88" w14:textId="77777777" w:rsidR="00F1004B" w:rsidRDefault="00F1004B">
      <w:pPr>
        <w:pStyle w:val="Textkrper"/>
        <w:spacing w:before="2"/>
        <w:ind w:left="0"/>
        <w:rPr>
          <w:rFonts w:ascii="Times New Roman"/>
          <w:sz w:val="24"/>
        </w:rPr>
      </w:pPr>
    </w:p>
    <w:p w14:paraId="3EAE7B5C" w14:textId="77777777" w:rsidR="00F1004B" w:rsidRDefault="009D2215">
      <w:pPr>
        <w:pStyle w:val="berschrift1"/>
        <w:numPr>
          <w:ilvl w:val="0"/>
          <w:numId w:val="1"/>
        </w:numPr>
        <w:tabs>
          <w:tab w:val="left" w:pos="630"/>
          <w:tab w:val="left" w:pos="631"/>
        </w:tabs>
        <w:spacing w:before="94"/>
        <w:ind w:hanging="433"/>
      </w:pPr>
      <w:r>
        <w:t>Zweck</w:t>
      </w:r>
    </w:p>
    <w:p w14:paraId="46BF5F4C" w14:textId="77777777" w:rsidR="00F1004B" w:rsidRDefault="00F1004B">
      <w:pPr>
        <w:pStyle w:val="Textkrper"/>
        <w:spacing w:before="4"/>
        <w:ind w:left="0"/>
        <w:rPr>
          <w:b/>
          <w:sz w:val="21"/>
        </w:rPr>
      </w:pPr>
    </w:p>
    <w:p w14:paraId="36B7CF83" w14:textId="77777777" w:rsidR="00F1004B" w:rsidRDefault="009D2215">
      <w:pPr>
        <w:pStyle w:val="Textkrper"/>
        <w:spacing w:before="1"/>
      </w:pPr>
      <w:r>
        <w:t>Diese Standard – Arbeitsanweisung (SAA) regelt die Medikamentenvorbereitung</w:t>
      </w:r>
    </w:p>
    <w:p w14:paraId="44A09374" w14:textId="77777777" w:rsidR="00F1004B" w:rsidRDefault="00F1004B">
      <w:pPr>
        <w:pStyle w:val="Textkrper"/>
        <w:ind w:left="0"/>
        <w:rPr>
          <w:sz w:val="22"/>
        </w:rPr>
      </w:pPr>
    </w:p>
    <w:p w14:paraId="5F45B230" w14:textId="77777777" w:rsidR="00F1004B" w:rsidRDefault="00F1004B">
      <w:pPr>
        <w:pStyle w:val="Textkrper"/>
        <w:spacing w:before="4"/>
        <w:ind w:left="0"/>
        <w:rPr>
          <w:sz w:val="19"/>
        </w:rPr>
      </w:pPr>
    </w:p>
    <w:p w14:paraId="0FD1CE9B" w14:textId="77777777" w:rsidR="00F1004B" w:rsidRDefault="009D2215">
      <w:pPr>
        <w:pStyle w:val="berschrift1"/>
        <w:numPr>
          <w:ilvl w:val="0"/>
          <w:numId w:val="1"/>
        </w:numPr>
        <w:tabs>
          <w:tab w:val="left" w:pos="630"/>
          <w:tab w:val="left" w:pos="631"/>
        </w:tabs>
        <w:ind w:hanging="433"/>
      </w:pPr>
      <w:r>
        <w:t>Verantwortlichkeiten</w:t>
      </w:r>
    </w:p>
    <w:p w14:paraId="7EEFCAC0" w14:textId="77777777" w:rsidR="00F1004B" w:rsidRDefault="00F1004B">
      <w:pPr>
        <w:pStyle w:val="Textkrper"/>
        <w:spacing w:before="4"/>
        <w:ind w:left="0"/>
        <w:rPr>
          <w:b/>
          <w:sz w:val="21"/>
        </w:rPr>
      </w:pPr>
    </w:p>
    <w:p w14:paraId="50421BAA" w14:textId="77777777" w:rsidR="00F1004B" w:rsidRDefault="009D2215">
      <w:pPr>
        <w:pStyle w:val="Textkrper"/>
        <w:spacing w:before="1"/>
      </w:pPr>
      <w:r>
        <w:t>Mitarbeiter/innen in der Endoskopie, die die erforderliche Ausbildung, Kenntnis und Erfahrung haben.</w:t>
      </w:r>
    </w:p>
    <w:p w14:paraId="132C229A" w14:textId="77777777" w:rsidR="00F1004B" w:rsidRDefault="00F1004B">
      <w:pPr>
        <w:pStyle w:val="Textkrper"/>
        <w:ind w:left="0"/>
        <w:rPr>
          <w:sz w:val="22"/>
        </w:rPr>
      </w:pPr>
    </w:p>
    <w:p w14:paraId="1F381942" w14:textId="77777777" w:rsidR="00F1004B" w:rsidRDefault="00F1004B">
      <w:pPr>
        <w:pStyle w:val="Textkrper"/>
        <w:spacing w:before="4"/>
        <w:ind w:left="0"/>
        <w:rPr>
          <w:sz w:val="19"/>
        </w:rPr>
      </w:pPr>
    </w:p>
    <w:p w14:paraId="462DAC01" w14:textId="77777777" w:rsidR="00F1004B" w:rsidRDefault="009D2215">
      <w:pPr>
        <w:pStyle w:val="berschrift1"/>
        <w:numPr>
          <w:ilvl w:val="0"/>
          <w:numId w:val="1"/>
        </w:numPr>
        <w:tabs>
          <w:tab w:val="left" w:pos="630"/>
          <w:tab w:val="left" w:pos="631"/>
        </w:tabs>
        <w:ind w:hanging="433"/>
      </w:pPr>
      <w:r>
        <w:t>Durchführung</w:t>
      </w:r>
    </w:p>
    <w:p w14:paraId="612C7096" w14:textId="77777777" w:rsidR="00F1004B" w:rsidRDefault="00F1004B">
      <w:pPr>
        <w:pStyle w:val="Textkrper"/>
        <w:spacing w:before="5"/>
        <w:ind w:left="0"/>
        <w:rPr>
          <w:b/>
          <w:sz w:val="21"/>
        </w:rPr>
      </w:pPr>
    </w:p>
    <w:p w14:paraId="00E81C9D" w14:textId="77777777" w:rsidR="00F1004B" w:rsidRDefault="009D2215">
      <w:pPr>
        <w:spacing w:line="252" w:lineRule="exact"/>
        <w:ind w:left="198"/>
        <w:jc w:val="both"/>
        <w:rPr>
          <w:b/>
        </w:rPr>
      </w:pPr>
      <w:r>
        <w:rPr>
          <w:b/>
        </w:rPr>
        <w:t>Bereich – Medikamentenvorbereitung und Lagerung</w:t>
      </w:r>
    </w:p>
    <w:p w14:paraId="639E58A6" w14:textId="77777777" w:rsidR="00F1004B" w:rsidRDefault="009D2215">
      <w:pPr>
        <w:pStyle w:val="Textkrper"/>
        <w:ind w:right="400"/>
        <w:jc w:val="both"/>
      </w:pPr>
      <w:r>
        <w:t xml:space="preserve">Die Inbetriebnahme erfolgt mit einer Wischdesinfektion der Arbeitsfläche die im Fall einer </w:t>
      </w:r>
      <w:r>
        <w:t>späteren Kontamination</w:t>
      </w:r>
      <w:r>
        <w:rPr>
          <w:spacing w:val="-9"/>
        </w:rPr>
        <w:t xml:space="preserve"> </w:t>
      </w:r>
      <w:r>
        <w:t>unverzüglich</w:t>
      </w:r>
      <w:r>
        <w:rPr>
          <w:spacing w:val="-6"/>
        </w:rPr>
        <w:t xml:space="preserve"> </w:t>
      </w:r>
      <w:r>
        <w:t>zu</w:t>
      </w:r>
      <w:r>
        <w:rPr>
          <w:spacing w:val="-8"/>
        </w:rPr>
        <w:t xml:space="preserve"> </w:t>
      </w:r>
      <w:r>
        <w:t>wiederholen</w:t>
      </w:r>
      <w:r>
        <w:rPr>
          <w:spacing w:val="-7"/>
        </w:rPr>
        <w:t xml:space="preserve"> </w:t>
      </w:r>
      <w:r>
        <w:t>ist</w:t>
      </w:r>
      <w:r>
        <w:rPr>
          <w:spacing w:val="-8"/>
        </w:rPr>
        <w:t xml:space="preserve"> </w:t>
      </w:r>
      <w:r>
        <w:t>um</w:t>
      </w:r>
      <w:r>
        <w:rPr>
          <w:spacing w:val="-7"/>
        </w:rPr>
        <w:t xml:space="preserve"> </w:t>
      </w:r>
      <w:r>
        <w:t>eine</w:t>
      </w:r>
      <w:r>
        <w:rPr>
          <w:spacing w:val="-6"/>
        </w:rPr>
        <w:t xml:space="preserve"> </w:t>
      </w:r>
      <w:r>
        <w:t>Verschleppung</w:t>
      </w:r>
      <w:r>
        <w:rPr>
          <w:spacing w:val="-6"/>
        </w:rPr>
        <w:t xml:space="preserve"> </w:t>
      </w:r>
      <w:r>
        <w:t>dieser</w:t>
      </w:r>
      <w:r>
        <w:rPr>
          <w:spacing w:val="-8"/>
        </w:rPr>
        <w:t xml:space="preserve"> </w:t>
      </w:r>
      <w:r>
        <w:t>und</w:t>
      </w:r>
      <w:r>
        <w:rPr>
          <w:spacing w:val="-6"/>
        </w:rPr>
        <w:t xml:space="preserve"> </w:t>
      </w:r>
      <w:r>
        <w:t>deren</w:t>
      </w:r>
      <w:r>
        <w:rPr>
          <w:spacing w:val="-6"/>
        </w:rPr>
        <w:t xml:space="preserve"> </w:t>
      </w:r>
      <w:r>
        <w:t>Auswirkungen</w:t>
      </w:r>
      <w:r>
        <w:rPr>
          <w:spacing w:val="-9"/>
        </w:rPr>
        <w:t xml:space="preserve"> </w:t>
      </w:r>
      <w:r>
        <w:t>zu unterbinden.</w:t>
      </w:r>
    </w:p>
    <w:p w14:paraId="4CBBB930" w14:textId="77777777" w:rsidR="00F1004B" w:rsidRDefault="009D2215">
      <w:pPr>
        <w:pStyle w:val="Textkrper"/>
        <w:spacing w:before="1"/>
        <w:ind w:right="404"/>
        <w:jc w:val="both"/>
      </w:pPr>
      <w:r>
        <w:t>Der Spitzmüllcontainer, der in der Arbeitsfläche eingesetzt ist, wird durch regelmäßiges Ersetzen vor Überfüllung und unsachgemäßer B</w:t>
      </w:r>
      <w:r>
        <w:t>efüllung geschützt.</w:t>
      </w:r>
    </w:p>
    <w:p w14:paraId="58BC466B" w14:textId="77777777" w:rsidR="00F1004B" w:rsidRDefault="009D2215">
      <w:pPr>
        <w:pStyle w:val="Textkrper"/>
        <w:ind w:right="397"/>
        <w:jc w:val="both"/>
      </w:pPr>
      <w:r>
        <w:t>Selten</w:t>
      </w:r>
      <w:r>
        <w:rPr>
          <w:spacing w:val="-9"/>
        </w:rPr>
        <w:t xml:space="preserve"> </w:t>
      </w:r>
      <w:r>
        <w:t>verwendete</w:t>
      </w:r>
      <w:r>
        <w:rPr>
          <w:spacing w:val="-6"/>
        </w:rPr>
        <w:t xml:space="preserve"> </w:t>
      </w:r>
      <w:r>
        <w:t>Medikamente,</w:t>
      </w:r>
      <w:r>
        <w:rPr>
          <w:spacing w:val="-8"/>
        </w:rPr>
        <w:t xml:space="preserve"> </w:t>
      </w:r>
      <w:r>
        <w:t>die</w:t>
      </w:r>
      <w:r>
        <w:rPr>
          <w:spacing w:val="-8"/>
        </w:rPr>
        <w:t xml:space="preserve"> </w:t>
      </w:r>
      <w:r>
        <w:t>während</w:t>
      </w:r>
      <w:r>
        <w:rPr>
          <w:spacing w:val="-8"/>
        </w:rPr>
        <w:t xml:space="preserve"> </w:t>
      </w:r>
      <w:r>
        <w:t>einer</w:t>
      </w:r>
      <w:r>
        <w:rPr>
          <w:spacing w:val="-7"/>
        </w:rPr>
        <w:t xml:space="preserve"> </w:t>
      </w:r>
      <w:r>
        <w:t>Untersuchung</w:t>
      </w:r>
      <w:r>
        <w:rPr>
          <w:spacing w:val="-8"/>
        </w:rPr>
        <w:t xml:space="preserve"> </w:t>
      </w:r>
      <w:r>
        <w:t>schnellstmöglich</w:t>
      </w:r>
      <w:r>
        <w:rPr>
          <w:spacing w:val="-8"/>
        </w:rPr>
        <w:t xml:space="preserve"> </w:t>
      </w:r>
      <w:r>
        <w:t>zur</w:t>
      </w:r>
      <w:r>
        <w:rPr>
          <w:spacing w:val="-7"/>
        </w:rPr>
        <w:t xml:space="preserve"> </w:t>
      </w:r>
      <w:r>
        <w:t>Verfügung</w:t>
      </w:r>
      <w:r>
        <w:rPr>
          <w:spacing w:val="-8"/>
        </w:rPr>
        <w:t xml:space="preserve"> </w:t>
      </w:r>
      <w:r>
        <w:t>stehen sollten (Anexate, Buscapina, Paspertin, Suprarenin), werden mitsamt einem Applikationsset (Injektionsnadel, Einmalspritze) auf einem sau</w:t>
      </w:r>
      <w:r>
        <w:t>beren kleinen Tablett auf der Arbeitsfläche zur Verfügung gestellt.</w:t>
      </w:r>
    </w:p>
    <w:p w14:paraId="49E66ADC" w14:textId="77777777" w:rsidR="00F1004B" w:rsidRDefault="009D2215">
      <w:pPr>
        <w:pStyle w:val="Textkrper"/>
        <w:ind w:right="396"/>
        <w:jc w:val="both"/>
      </w:pPr>
      <w:r>
        <w:t>Verfallsdaten oder Beschädigungen sind vor der Bereitstellung zu prüfen und gegebenenfalls müssen die Medikamente verworfen und ersetzt werden.</w:t>
      </w:r>
    </w:p>
    <w:p w14:paraId="279E5AA8" w14:textId="77777777" w:rsidR="00F1004B" w:rsidRDefault="009D2215">
      <w:pPr>
        <w:pStyle w:val="Textkrper"/>
        <w:ind w:right="393"/>
        <w:jc w:val="both"/>
      </w:pPr>
      <w:r>
        <w:t>Das</w:t>
      </w:r>
      <w:r>
        <w:rPr>
          <w:spacing w:val="-15"/>
        </w:rPr>
        <w:t xml:space="preserve"> </w:t>
      </w:r>
      <w:r>
        <w:t>Vorbereiten</w:t>
      </w:r>
      <w:r>
        <w:rPr>
          <w:spacing w:val="-16"/>
        </w:rPr>
        <w:t xml:space="preserve"> </w:t>
      </w:r>
      <w:r>
        <w:t>der</w:t>
      </w:r>
      <w:r>
        <w:rPr>
          <w:spacing w:val="-15"/>
        </w:rPr>
        <w:t xml:space="preserve"> </w:t>
      </w:r>
      <w:r>
        <w:t>Medikamente</w:t>
      </w:r>
      <w:r>
        <w:rPr>
          <w:spacing w:val="-15"/>
        </w:rPr>
        <w:t xml:space="preserve"> </w:t>
      </w:r>
      <w:r>
        <w:t>wird</w:t>
      </w:r>
      <w:r>
        <w:rPr>
          <w:spacing w:val="-16"/>
        </w:rPr>
        <w:t xml:space="preserve"> </w:t>
      </w:r>
      <w:r>
        <w:t>unmitte</w:t>
      </w:r>
      <w:r>
        <w:t>lbar</w:t>
      </w:r>
      <w:r>
        <w:rPr>
          <w:spacing w:val="-14"/>
        </w:rPr>
        <w:t xml:space="preserve"> </w:t>
      </w:r>
      <w:r>
        <w:t>vor</w:t>
      </w:r>
      <w:r>
        <w:rPr>
          <w:spacing w:val="-15"/>
        </w:rPr>
        <w:t xml:space="preserve"> </w:t>
      </w:r>
      <w:r>
        <w:t>Untersuchungsbeginn</w:t>
      </w:r>
      <w:r>
        <w:rPr>
          <w:spacing w:val="-15"/>
        </w:rPr>
        <w:t xml:space="preserve"> </w:t>
      </w:r>
      <w:r>
        <w:t>für</w:t>
      </w:r>
      <w:r>
        <w:rPr>
          <w:spacing w:val="-15"/>
        </w:rPr>
        <w:t xml:space="preserve"> </w:t>
      </w:r>
      <w:r>
        <w:t>einen</w:t>
      </w:r>
      <w:r>
        <w:rPr>
          <w:spacing w:val="-15"/>
        </w:rPr>
        <w:t xml:space="preserve"> </w:t>
      </w:r>
      <w:r>
        <w:t>einzelnen</w:t>
      </w:r>
      <w:r>
        <w:rPr>
          <w:spacing w:val="-16"/>
        </w:rPr>
        <w:t xml:space="preserve"> </w:t>
      </w:r>
      <w:r>
        <w:t>Patienten durchgeführt (Dormicum, Propofol). Nicht verwendetet aber Vorbereitete Medikamente, sowie leere und angebrochene Ampullen, werden spätestens nach Untersuchungsende</w:t>
      </w:r>
      <w:r>
        <w:rPr>
          <w:spacing w:val="-4"/>
        </w:rPr>
        <w:t xml:space="preserve"> </w:t>
      </w:r>
      <w:r>
        <w:t>verworfen.</w:t>
      </w:r>
    </w:p>
    <w:p w14:paraId="0108A59E" w14:textId="77777777" w:rsidR="00F1004B" w:rsidRDefault="00F1004B">
      <w:pPr>
        <w:pStyle w:val="Textkrper"/>
        <w:spacing w:before="1"/>
        <w:ind w:left="0"/>
      </w:pPr>
    </w:p>
    <w:p w14:paraId="43C655EC" w14:textId="77777777" w:rsidR="00F1004B" w:rsidRDefault="009D2215">
      <w:pPr>
        <w:pStyle w:val="berschrift1"/>
        <w:spacing w:line="252" w:lineRule="exact"/>
        <w:ind w:firstLine="0"/>
      </w:pPr>
      <w:r>
        <w:t>Antiflat</w:t>
      </w:r>
    </w:p>
    <w:p w14:paraId="2ADB0911" w14:textId="77777777" w:rsidR="00F1004B" w:rsidRDefault="009D2215">
      <w:pPr>
        <w:pStyle w:val="Textkrper"/>
        <w:ind w:right="378"/>
      </w:pPr>
      <w:r>
        <w:t>Antiflat wird ausschließlich durch Schütten aus der Flasche oder der mitgelieferten Dosierhilfe dosiert. Eine dem Patienten in einem Einmalbecher zur oralen Einnahme zu verabreichender Dosis zur Schaumreduktion vor einer Gastroskopie ist wie gefolgt bereit</w:t>
      </w:r>
      <w:r>
        <w:t xml:space="preserve"> zu stellen:</w:t>
      </w:r>
    </w:p>
    <w:p w14:paraId="2FF7974F" w14:textId="77777777" w:rsidR="00F1004B" w:rsidRDefault="009D2215">
      <w:pPr>
        <w:pStyle w:val="Textkrper"/>
        <w:spacing w:before="121"/>
        <w:ind w:left="482" w:right="680"/>
        <w:jc w:val="both"/>
      </w:pPr>
      <w:r>
        <w:t>Einmalbecher (250ml mögl. Volumen) 3-5ml Antiflat: (entspricht, den durch Einkippen in einem, auf einer waagerechten Fläche stehenden Einmalbecher, zur Gänze bedeckten Boden Auffüllen des Bechers mit ca. 50-100ml Wasser (ca. 2 Finger hoch)</w:t>
      </w:r>
    </w:p>
    <w:p w14:paraId="48748C23" w14:textId="77777777" w:rsidR="00F1004B" w:rsidRDefault="009D2215">
      <w:pPr>
        <w:pStyle w:val="Textkrper"/>
        <w:spacing w:before="119"/>
        <w:ind w:right="400"/>
        <w:jc w:val="both"/>
      </w:pPr>
      <w:r>
        <w:t>Die</w:t>
      </w:r>
      <w:r>
        <w:t xml:space="preserve"> Verdünnung mit Wasser dient nur dem Zweck der besseren Trinkbarkeit der doch geringen und dickflüssigen Menge des Entschäumungsmittels. Die Zubereitung in Trinkbecher erfolgt im Anmeldebereich. Dort ist auch die Flasche Antiflat deponiert.</w:t>
      </w:r>
    </w:p>
    <w:p w14:paraId="3A30FDC5" w14:textId="77777777" w:rsidR="00F1004B" w:rsidRDefault="009D2215">
      <w:pPr>
        <w:pStyle w:val="Textkrper"/>
        <w:spacing w:line="229" w:lineRule="exact"/>
        <w:jc w:val="both"/>
      </w:pPr>
      <w:r>
        <w:t>Nach Verabreich</w:t>
      </w:r>
      <w:r>
        <w:t>ung an den Patienten wird der benutzte Becher sofort verworfen.</w:t>
      </w:r>
    </w:p>
    <w:p w14:paraId="04844D5B" w14:textId="77777777" w:rsidR="00F1004B" w:rsidRDefault="00F1004B">
      <w:pPr>
        <w:pStyle w:val="Textkrper"/>
        <w:ind w:left="0"/>
      </w:pPr>
    </w:p>
    <w:p w14:paraId="629846EA" w14:textId="77777777" w:rsidR="00F1004B" w:rsidRDefault="009D2215">
      <w:pPr>
        <w:pStyle w:val="Textkrper"/>
        <w:spacing w:before="9"/>
        <w:ind w:left="0"/>
        <w:rPr>
          <w:sz w:val="14"/>
        </w:rPr>
      </w:pPr>
      <w:r>
        <w:pict w14:anchorId="7385B08F">
          <v:shape id="_x0000_s1026" style="position:absolute;margin-left:70.95pt;margin-top:10.85pt;width:144.05pt;height:.1pt;z-index:-251655168;mso-wrap-distance-left:0;mso-wrap-distance-right:0;mso-position-horizontal-relative:page" coordorigin="1419,217" coordsize="2881,0" path="m1419,217r2880,e" filled="f" strokeweight=".72pt">
            <v:path arrowok="t"/>
            <w10:wrap type="topAndBottom" anchorx="page"/>
          </v:shape>
        </w:pict>
      </w:r>
    </w:p>
    <w:p w14:paraId="06E57B51" w14:textId="77777777" w:rsidR="00F1004B" w:rsidRDefault="00F1004B">
      <w:pPr>
        <w:rPr>
          <w:sz w:val="14"/>
        </w:rPr>
        <w:sectPr w:rsidR="00F1004B">
          <w:footerReference w:type="default" r:id="rId7"/>
          <w:type w:val="continuous"/>
          <w:pgSz w:w="11910" w:h="16840"/>
          <w:pgMar w:top="700" w:right="740" w:bottom="880" w:left="1220" w:header="720" w:footer="685" w:gutter="0"/>
          <w:pgNumType w:start="1"/>
          <w:cols w:space="720"/>
        </w:sectPr>
      </w:pPr>
    </w:p>
    <w:p w14:paraId="2CB89304" w14:textId="77777777" w:rsidR="00F1004B" w:rsidRDefault="009D2215">
      <w:pPr>
        <w:pStyle w:val="berschrift1"/>
        <w:spacing w:before="83" w:line="252" w:lineRule="exact"/>
        <w:ind w:firstLine="0"/>
        <w:jc w:val="both"/>
      </w:pPr>
      <w:r>
        <w:lastRenderedPageBreak/>
        <w:t>SAB Simplex</w:t>
      </w:r>
    </w:p>
    <w:p w14:paraId="3FECC9F5" w14:textId="77777777" w:rsidR="00F1004B" w:rsidRDefault="009D2215">
      <w:pPr>
        <w:pStyle w:val="Textkrper"/>
        <w:spacing w:line="229" w:lineRule="exact"/>
        <w:jc w:val="both"/>
      </w:pPr>
      <w:r>
        <w:t>SAB Simplex wird ausschließlich durch Tropfen aus der Flasche dosiert</w:t>
      </w:r>
    </w:p>
    <w:p w14:paraId="7A0C9D1C" w14:textId="77777777" w:rsidR="00F1004B" w:rsidRDefault="009D2215">
      <w:pPr>
        <w:pStyle w:val="Textkrper"/>
        <w:ind w:right="399"/>
        <w:jc w:val="both"/>
      </w:pPr>
      <w:r>
        <w:t>Eine dem Patienten in einem Einmalbecher zur oralen Einnahme zu verabreichender Dosis zur Schaumreduktion vor einer Gastroskopie ist wie gefolgt bereit zu stellen:</w:t>
      </w:r>
    </w:p>
    <w:p w14:paraId="50F42498" w14:textId="77777777" w:rsidR="00F1004B" w:rsidRDefault="009D2215">
      <w:pPr>
        <w:pStyle w:val="Textkrper"/>
        <w:tabs>
          <w:tab w:val="left" w:pos="8696"/>
        </w:tabs>
        <w:spacing w:before="121"/>
        <w:ind w:left="482" w:right="978"/>
      </w:pPr>
      <w:r>
        <w:t>Einmalbecher (250ml mö</w:t>
      </w:r>
      <w:r>
        <w:t>gl. Volumen),  30ggt SAB Simplex ,  Auffüllen des</w:t>
      </w:r>
      <w:r>
        <w:rPr>
          <w:spacing w:val="-22"/>
        </w:rPr>
        <w:t xml:space="preserve"> </w:t>
      </w:r>
      <w:r>
        <w:t>Bechers</w:t>
      </w:r>
      <w:r>
        <w:rPr>
          <w:spacing w:val="-2"/>
        </w:rPr>
        <w:t xml:space="preserve"> </w:t>
      </w:r>
      <w:r>
        <w:t>mit</w:t>
      </w:r>
      <w:r>
        <w:tab/>
      </w:r>
      <w:r>
        <w:rPr>
          <w:spacing w:val="-6"/>
        </w:rPr>
        <w:t xml:space="preserve">ca. </w:t>
      </w:r>
      <w:r>
        <w:t>50-100ml Wasser (ca. 2 Finger</w:t>
      </w:r>
      <w:r>
        <w:rPr>
          <w:spacing w:val="-4"/>
        </w:rPr>
        <w:t xml:space="preserve"> </w:t>
      </w:r>
      <w:r>
        <w:t>hoch)</w:t>
      </w:r>
    </w:p>
    <w:p w14:paraId="412CCAF0" w14:textId="77777777" w:rsidR="00F1004B" w:rsidRDefault="009D2215">
      <w:pPr>
        <w:pStyle w:val="Textkrper"/>
        <w:spacing w:before="118"/>
        <w:ind w:right="392"/>
        <w:jc w:val="both"/>
      </w:pPr>
      <w:r>
        <w:t>Die Verdünnung mit Wasser dient nur dem Zweck der besseren Trinkbarkeit der doch geringen und dickflüssigen Menge des Entschäumungsmittels. Die Zubereitun</w:t>
      </w:r>
      <w:r>
        <w:t>g in Trinkbecher erfolgt im Anmeldebereich. Dort ist auch die Flasche SAB Simplex deponiert.</w:t>
      </w:r>
    </w:p>
    <w:p w14:paraId="6E722C5B" w14:textId="77777777" w:rsidR="00F1004B" w:rsidRDefault="009D2215">
      <w:pPr>
        <w:pStyle w:val="Textkrper"/>
        <w:spacing w:before="2"/>
        <w:jc w:val="both"/>
      </w:pPr>
      <w:r>
        <w:t>Nach Verabreichung an den Patienten wird der benutzte Becher sofort verworfen.</w:t>
      </w:r>
    </w:p>
    <w:sectPr w:rsidR="00F1004B">
      <w:pgSz w:w="11910" w:h="16840"/>
      <w:pgMar w:top="1320" w:right="740" w:bottom="880" w:left="1220" w:header="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5A11" w14:textId="77777777" w:rsidR="00000000" w:rsidRDefault="009D2215">
      <w:r>
        <w:separator/>
      </w:r>
    </w:p>
  </w:endnote>
  <w:endnote w:type="continuationSeparator" w:id="0">
    <w:p w14:paraId="239BEC3D" w14:textId="77777777" w:rsidR="00000000" w:rsidRDefault="009D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4791" w14:textId="77777777" w:rsidR="00F1004B" w:rsidRDefault="009D2215">
    <w:pPr>
      <w:pStyle w:val="Textkrper"/>
      <w:spacing w:line="14" w:lineRule="auto"/>
      <w:ind w:left="0"/>
    </w:pPr>
    <w:r>
      <w:pict w14:anchorId="1F4A7BFA">
        <v:shapetype id="_x0000_t202" coordsize="21600,21600" o:spt="202" path="m,l,21600r21600,l21600,xe">
          <v:stroke joinstyle="miter"/>
          <v:path gradientshapeok="t" o:connecttype="rect"/>
        </v:shapetype>
        <v:shape id="_x0000_s2049" type="#_x0000_t202" style="position:absolute;margin-left:491pt;margin-top:796.55pt;width:48.85pt;height:11pt;z-index:-251658752;mso-position-horizontal-relative:page;mso-position-vertical-relative:page" filled="f" stroked="f">
          <v:textbox inset="0,0,0,0">
            <w:txbxContent>
              <w:p w14:paraId="1EABFE4A" w14:textId="77777777" w:rsidR="00F1004B" w:rsidRDefault="009D2215">
                <w:pPr>
                  <w:spacing w:before="15"/>
                  <w:ind w:left="20"/>
                  <w:rPr>
                    <w:sz w:val="16"/>
                  </w:rPr>
                </w:pPr>
                <w:r>
                  <w:rPr>
                    <w:sz w:val="16"/>
                  </w:rPr>
                  <w:t xml:space="preserve">Seite </w:t>
                </w:r>
                <w:r>
                  <w:fldChar w:fldCharType="begin"/>
                </w:r>
                <w:r>
                  <w:rPr>
                    <w:sz w:val="16"/>
                  </w:rPr>
                  <w:instrText xml:space="preserve"> PAGE </w:instrText>
                </w:r>
                <w:r>
                  <w:fldChar w:fldCharType="separate"/>
                </w:r>
                <w:r>
                  <w:t>1</w:t>
                </w:r>
                <w:r>
                  <w:fldChar w:fldCharType="end"/>
                </w:r>
                <w:r>
                  <w:rPr>
                    <w:sz w:val="16"/>
                  </w:rPr>
                  <w:t xml:space="preserve"> von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35276" w14:textId="77777777" w:rsidR="00000000" w:rsidRDefault="009D2215">
      <w:r>
        <w:separator/>
      </w:r>
    </w:p>
  </w:footnote>
  <w:footnote w:type="continuationSeparator" w:id="0">
    <w:p w14:paraId="117F9D80" w14:textId="77777777" w:rsidR="00000000" w:rsidRDefault="009D2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A4E8A"/>
    <w:multiLevelType w:val="hybridMultilevel"/>
    <w:tmpl w:val="8EB42254"/>
    <w:lvl w:ilvl="0" w:tplc="728846C2">
      <w:start w:val="1"/>
      <w:numFmt w:val="decimal"/>
      <w:lvlText w:val="%1"/>
      <w:lvlJc w:val="left"/>
      <w:pPr>
        <w:ind w:left="630" w:hanging="432"/>
        <w:jc w:val="left"/>
      </w:pPr>
      <w:rPr>
        <w:rFonts w:ascii="Arial" w:eastAsia="Arial" w:hAnsi="Arial" w:cs="Arial" w:hint="default"/>
        <w:b/>
        <w:bCs/>
        <w:w w:val="100"/>
        <w:sz w:val="22"/>
        <w:szCs w:val="22"/>
        <w:lang w:val="de-DE" w:eastAsia="de-DE" w:bidi="de-DE"/>
      </w:rPr>
    </w:lvl>
    <w:lvl w:ilvl="1" w:tplc="1160CD7A">
      <w:numFmt w:val="bullet"/>
      <w:lvlText w:val="•"/>
      <w:lvlJc w:val="left"/>
      <w:pPr>
        <w:ind w:left="1570" w:hanging="432"/>
      </w:pPr>
      <w:rPr>
        <w:rFonts w:hint="default"/>
        <w:lang w:val="de-DE" w:eastAsia="de-DE" w:bidi="de-DE"/>
      </w:rPr>
    </w:lvl>
    <w:lvl w:ilvl="2" w:tplc="5B44BBB6">
      <w:numFmt w:val="bullet"/>
      <w:lvlText w:val="•"/>
      <w:lvlJc w:val="left"/>
      <w:pPr>
        <w:ind w:left="2500" w:hanging="432"/>
      </w:pPr>
      <w:rPr>
        <w:rFonts w:hint="default"/>
        <w:lang w:val="de-DE" w:eastAsia="de-DE" w:bidi="de-DE"/>
      </w:rPr>
    </w:lvl>
    <w:lvl w:ilvl="3" w:tplc="B3B81EA4">
      <w:numFmt w:val="bullet"/>
      <w:lvlText w:val="•"/>
      <w:lvlJc w:val="left"/>
      <w:pPr>
        <w:ind w:left="3431" w:hanging="432"/>
      </w:pPr>
      <w:rPr>
        <w:rFonts w:hint="default"/>
        <w:lang w:val="de-DE" w:eastAsia="de-DE" w:bidi="de-DE"/>
      </w:rPr>
    </w:lvl>
    <w:lvl w:ilvl="4" w:tplc="D494A7B0">
      <w:numFmt w:val="bullet"/>
      <w:lvlText w:val="•"/>
      <w:lvlJc w:val="left"/>
      <w:pPr>
        <w:ind w:left="4361" w:hanging="432"/>
      </w:pPr>
      <w:rPr>
        <w:rFonts w:hint="default"/>
        <w:lang w:val="de-DE" w:eastAsia="de-DE" w:bidi="de-DE"/>
      </w:rPr>
    </w:lvl>
    <w:lvl w:ilvl="5" w:tplc="88188BDE">
      <w:numFmt w:val="bullet"/>
      <w:lvlText w:val="•"/>
      <w:lvlJc w:val="left"/>
      <w:pPr>
        <w:ind w:left="5292" w:hanging="432"/>
      </w:pPr>
      <w:rPr>
        <w:rFonts w:hint="default"/>
        <w:lang w:val="de-DE" w:eastAsia="de-DE" w:bidi="de-DE"/>
      </w:rPr>
    </w:lvl>
    <w:lvl w:ilvl="6" w:tplc="51C2FE4C">
      <w:numFmt w:val="bullet"/>
      <w:lvlText w:val="•"/>
      <w:lvlJc w:val="left"/>
      <w:pPr>
        <w:ind w:left="6222" w:hanging="432"/>
      </w:pPr>
      <w:rPr>
        <w:rFonts w:hint="default"/>
        <w:lang w:val="de-DE" w:eastAsia="de-DE" w:bidi="de-DE"/>
      </w:rPr>
    </w:lvl>
    <w:lvl w:ilvl="7" w:tplc="67164D38">
      <w:numFmt w:val="bullet"/>
      <w:lvlText w:val="•"/>
      <w:lvlJc w:val="left"/>
      <w:pPr>
        <w:ind w:left="7152" w:hanging="432"/>
      </w:pPr>
      <w:rPr>
        <w:rFonts w:hint="default"/>
        <w:lang w:val="de-DE" w:eastAsia="de-DE" w:bidi="de-DE"/>
      </w:rPr>
    </w:lvl>
    <w:lvl w:ilvl="8" w:tplc="F586D2CE">
      <w:numFmt w:val="bullet"/>
      <w:lvlText w:val="•"/>
      <w:lvlJc w:val="left"/>
      <w:pPr>
        <w:ind w:left="8083" w:hanging="432"/>
      </w:pPr>
      <w:rPr>
        <w:rFonts w:hint="default"/>
        <w:lang w:val="de-DE" w:eastAsia="de-DE" w:bidi="de-D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1004B"/>
    <w:rsid w:val="009D2215"/>
    <w:rsid w:val="00F100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2F26EE"/>
  <w15:docId w15:val="{9297C25E-E2DA-4F72-BFBF-E0F79059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eastAsia="de-DE" w:bidi="de-DE"/>
    </w:rPr>
  </w:style>
  <w:style w:type="paragraph" w:styleId="berschrift1">
    <w:name w:val="heading 1"/>
    <w:basedOn w:val="Standard"/>
    <w:uiPriority w:val="9"/>
    <w:qFormat/>
    <w:pPr>
      <w:ind w:left="198" w:hanging="433"/>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98"/>
    </w:pPr>
    <w:rPr>
      <w:sz w:val="20"/>
      <w:szCs w:val="20"/>
    </w:rPr>
  </w:style>
  <w:style w:type="paragraph" w:styleId="Listenabsatz">
    <w:name w:val="List Paragraph"/>
    <w:basedOn w:val="Standard"/>
    <w:uiPriority w:val="1"/>
    <w:qFormat/>
    <w:pPr>
      <w:ind w:left="630" w:hanging="433"/>
    </w:pPr>
  </w:style>
  <w:style w:type="paragraph" w:customStyle="1" w:styleId="TableParagraph">
    <w:name w:val="Table Paragraph"/>
    <w:basedOn w:val="Standard"/>
    <w:uiPriority w:val="1"/>
    <w:qFormat/>
    <w:pPr>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2615</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Muster-SOP</dc:title>
  <dc:creator>Helmut</dc:creator>
  <cp:lastModifiedBy>Gerald Oppeck</cp:lastModifiedBy>
  <cp:revision>2</cp:revision>
  <dcterms:created xsi:type="dcterms:W3CDTF">2020-02-24T09:45:00Z</dcterms:created>
  <dcterms:modified xsi:type="dcterms:W3CDTF">2021-06-04T06:58:00Z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Word 2016</vt:lpwstr>
  </property>
  <property fmtid="{D5CDD505-2E9C-101B-9397-08002B2CF9AE}" pid="4" name="LastSaved">
    <vt:filetime>2020-02-24T00:00:00Z</vt:filetime>
  </property>
</Properties>
</file>