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3C70" w14:textId="77777777" w:rsidR="00B220CC" w:rsidRDefault="00226A83">
      <w:pPr>
        <w:pStyle w:val="Textkrper"/>
        <w:ind w:left="9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1AB01D40">
          <v:group id="_x0000_s1026" style="width:488.3pt;height:84.05pt;mso-position-horizontal-relative:char;mso-position-vertical-relative:line" coordsize="9766,168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02;top:21;width:6842;height:1638" filled="f" strokeweight="2.16pt">
              <v:textbox style="mso-next-textbox:#_x0000_s1028" inset="0,0,0,0">
                <w:txbxContent>
                  <w:p w14:paraId="715EDDD7" w14:textId="77777777" w:rsidR="00B220CC" w:rsidRDefault="00B220CC">
                    <w:pPr>
                      <w:spacing w:before="5"/>
                      <w:rPr>
                        <w:rFonts w:ascii="Times New Roman"/>
                        <w:sz w:val="33"/>
                      </w:rPr>
                    </w:pPr>
                  </w:p>
                  <w:p w14:paraId="5F7166C8" w14:textId="77777777" w:rsidR="00B220CC" w:rsidRDefault="00226A83">
                    <w:pPr>
                      <w:spacing w:line="362" w:lineRule="auto"/>
                      <w:ind w:left="2436" w:right="620" w:hanging="180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SAA 15 b – Medikamentenvorbereitung (intravenös) in der Endoskopie</w:t>
                    </w:r>
                  </w:p>
                </w:txbxContent>
              </v:textbox>
            </v:shape>
            <v:shape id="_x0000_s1027" type="#_x0000_t202" style="position:absolute;left:21;top:21;width:2881;height:1638" filled="f" strokeweight="2.16pt">
              <v:textbox style="mso-next-textbox:#_x0000_s1027" inset="0,0,0,0">
                <w:txbxContent>
                  <w:p w14:paraId="19FFD97B" w14:textId="77777777" w:rsidR="00B220CC" w:rsidRDefault="00B220CC">
                    <w:pPr>
                      <w:rPr>
                        <w:rFonts w:ascii="Times New Roman"/>
                        <w:sz w:val="24"/>
                      </w:rPr>
                    </w:pPr>
                  </w:p>
                  <w:p w14:paraId="0746FC42" w14:textId="77777777" w:rsidR="00B220CC" w:rsidRDefault="00B220CC">
                    <w:pPr>
                      <w:rPr>
                        <w:rFonts w:ascii="Times New Roman"/>
                        <w:sz w:val="29"/>
                      </w:rPr>
                    </w:pPr>
                  </w:p>
                  <w:p w14:paraId="494828C6" w14:textId="69B15FD8" w:rsidR="00B220CC" w:rsidRDefault="00226A83">
                    <w:pPr>
                      <w:ind w:left="48"/>
                      <w:rPr>
                        <w:b/>
                      </w:rPr>
                    </w:pPr>
                    <w:r>
                      <w:rPr>
                        <w:b/>
                      </w:rPr>
                      <w:t>Ordination Dr. NN</w:t>
                    </w:r>
                  </w:p>
                </w:txbxContent>
              </v:textbox>
            </v:shape>
            <w10:anchorlock/>
          </v:group>
        </w:pict>
      </w:r>
    </w:p>
    <w:p w14:paraId="1E659232" w14:textId="77777777" w:rsidR="00B220CC" w:rsidRDefault="00B220CC">
      <w:pPr>
        <w:pStyle w:val="Textkrper"/>
        <w:spacing w:before="3"/>
        <w:rPr>
          <w:rFonts w:ascii="Times New Roman"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241"/>
        <w:gridCol w:w="1416"/>
        <w:gridCol w:w="3404"/>
      </w:tblGrid>
      <w:tr w:rsidR="00B220CC" w14:paraId="09F5AAD3" w14:textId="77777777">
        <w:trPr>
          <w:trHeight w:val="371"/>
        </w:trPr>
        <w:tc>
          <w:tcPr>
            <w:tcW w:w="1582" w:type="dxa"/>
          </w:tcPr>
          <w:p w14:paraId="39A6453B" w14:textId="77777777" w:rsidR="00B220CC" w:rsidRDefault="00226A83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Erstellt:</w:t>
            </w:r>
          </w:p>
        </w:tc>
        <w:tc>
          <w:tcPr>
            <w:tcW w:w="3241" w:type="dxa"/>
          </w:tcPr>
          <w:p w14:paraId="3ABAC3B2" w14:textId="1144BE2F" w:rsidR="00B220CC" w:rsidRDefault="00226A83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NN</w:t>
            </w:r>
          </w:p>
        </w:tc>
        <w:tc>
          <w:tcPr>
            <w:tcW w:w="1416" w:type="dxa"/>
          </w:tcPr>
          <w:p w14:paraId="29F266A5" w14:textId="77777777" w:rsidR="00B220CC" w:rsidRDefault="00226A83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4" w:type="dxa"/>
          </w:tcPr>
          <w:p w14:paraId="53589FC2" w14:textId="77777777" w:rsidR="00B220CC" w:rsidRDefault="00B220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220CC" w14:paraId="44A510AE" w14:textId="77777777">
        <w:trPr>
          <w:trHeight w:val="335"/>
        </w:trPr>
        <w:tc>
          <w:tcPr>
            <w:tcW w:w="1582" w:type="dxa"/>
          </w:tcPr>
          <w:p w14:paraId="30A70FDC" w14:textId="77777777" w:rsidR="00B220CC" w:rsidRDefault="00226A83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Freigegeben:</w:t>
            </w:r>
          </w:p>
        </w:tc>
        <w:tc>
          <w:tcPr>
            <w:tcW w:w="3241" w:type="dxa"/>
          </w:tcPr>
          <w:p w14:paraId="14182F09" w14:textId="6732961C" w:rsidR="00B220CC" w:rsidRDefault="00226A83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Dr. NN</w:t>
            </w:r>
          </w:p>
        </w:tc>
        <w:tc>
          <w:tcPr>
            <w:tcW w:w="1416" w:type="dxa"/>
          </w:tcPr>
          <w:p w14:paraId="7ED12403" w14:textId="77777777" w:rsidR="00B220CC" w:rsidRDefault="00226A83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4" w:type="dxa"/>
          </w:tcPr>
          <w:p w14:paraId="385F8CB0" w14:textId="77777777" w:rsidR="00B220CC" w:rsidRDefault="00B220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220CC" w14:paraId="3F477C99" w14:textId="77777777">
        <w:trPr>
          <w:trHeight w:val="340"/>
        </w:trPr>
        <w:tc>
          <w:tcPr>
            <w:tcW w:w="1582" w:type="dxa"/>
          </w:tcPr>
          <w:p w14:paraId="0B7DCDC3" w14:textId="77777777" w:rsidR="00B220CC" w:rsidRDefault="00226A83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Gültig ab:</w:t>
            </w:r>
          </w:p>
        </w:tc>
        <w:tc>
          <w:tcPr>
            <w:tcW w:w="3241" w:type="dxa"/>
          </w:tcPr>
          <w:p w14:paraId="744B708D" w14:textId="77777777" w:rsidR="00B220CC" w:rsidRDefault="00226A83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August 2019</w:t>
            </w:r>
          </w:p>
        </w:tc>
        <w:tc>
          <w:tcPr>
            <w:tcW w:w="1416" w:type="dxa"/>
          </w:tcPr>
          <w:p w14:paraId="0D29D2B4" w14:textId="77777777" w:rsidR="00B220CC" w:rsidRDefault="00B220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1884F213" w14:textId="77777777" w:rsidR="00B220CC" w:rsidRDefault="00B220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483CE2D" w14:textId="77777777" w:rsidR="00B220CC" w:rsidRDefault="00B220CC">
      <w:pPr>
        <w:pStyle w:val="Textkrper"/>
        <w:spacing w:before="2"/>
        <w:rPr>
          <w:rFonts w:ascii="Times New Roman"/>
          <w:sz w:val="24"/>
        </w:rPr>
      </w:pPr>
    </w:p>
    <w:p w14:paraId="3F8970F6" w14:textId="77777777" w:rsidR="00B220CC" w:rsidRDefault="00226A83">
      <w:pPr>
        <w:pStyle w:val="berschrift1"/>
        <w:numPr>
          <w:ilvl w:val="0"/>
          <w:numId w:val="1"/>
        </w:numPr>
        <w:tabs>
          <w:tab w:val="left" w:pos="630"/>
          <w:tab w:val="left" w:pos="631"/>
        </w:tabs>
        <w:spacing w:before="94"/>
        <w:ind w:hanging="433"/>
      </w:pPr>
      <w:r>
        <w:t>Zweck</w:t>
      </w:r>
    </w:p>
    <w:p w14:paraId="16BF5454" w14:textId="77777777" w:rsidR="00B220CC" w:rsidRDefault="00B220CC">
      <w:pPr>
        <w:pStyle w:val="Textkrper"/>
        <w:spacing w:before="4"/>
        <w:rPr>
          <w:b/>
          <w:sz w:val="21"/>
        </w:rPr>
      </w:pPr>
    </w:p>
    <w:p w14:paraId="4512CE84" w14:textId="77777777" w:rsidR="00B220CC" w:rsidRDefault="00226A83">
      <w:pPr>
        <w:pStyle w:val="Textkrper"/>
        <w:spacing w:before="1"/>
        <w:ind w:left="198"/>
        <w:jc w:val="both"/>
      </w:pPr>
      <w:r>
        <w:t>Diese Standard – Arbeitsanweisung (SAA) regelt die Medikamentenvorbereitung</w:t>
      </w:r>
    </w:p>
    <w:p w14:paraId="7D897A09" w14:textId="77777777" w:rsidR="00B220CC" w:rsidRDefault="00B220CC">
      <w:pPr>
        <w:pStyle w:val="Textkrper"/>
        <w:rPr>
          <w:sz w:val="22"/>
        </w:rPr>
      </w:pPr>
    </w:p>
    <w:p w14:paraId="1E1BB48A" w14:textId="77777777" w:rsidR="00B220CC" w:rsidRDefault="00B220CC">
      <w:pPr>
        <w:pStyle w:val="Textkrper"/>
        <w:spacing w:before="4"/>
        <w:rPr>
          <w:sz w:val="19"/>
        </w:rPr>
      </w:pPr>
    </w:p>
    <w:p w14:paraId="27E9E2FB" w14:textId="77777777" w:rsidR="00B220CC" w:rsidRDefault="00226A83">
      <w:pPr>
        <w:pStyle w:val="berschrift1"/>
        <w:numPr>
          <w:ilvl w:val="0"/>
          <w:numId w:val="1"/>
        </w:numPr>
        <w:tabs>
          <w:tab w:val="left" w:pos="630"/>
          <w:tab w:val="left" w:pos="631"/>
        </w:tabs>
        <w:ind w:hanging="433"/>
      </w:pPr>
      <w:r>
        <w:t>Verantwortlichkeiten</w:t>
      </w:r>
    </w:p>
    <w:p w14:paraId="52B590A6" w14:textId="77777777" w:rsidR="00B220CC" w:rsidRDefault="00B220CC">
      <w:pPr>
        <w:pStyle w:val="Textkrper"/>
        <w:spacing w:before="4"/>
        <w:rPr>
          <w:b/>
          <w:sz w:val="21"/>
        </w:rPr>
      </w:pPr>
    </w:p>
    <w:p w14:paraId="1A7B0580" w14:textId="77777777" w:rsidR="00B220CC" w:rsidRDefault="00226A83">
      <w:pPr>
        <w:pStyle w:val="Textkrper"/>
        <w:spacing w:before="1"/>
        <w:ind w:left="198"/>
        <w:jc w:val="both"/>
      </w:pPr>
      <w:r>
        <w:t>Mitarbeiter/innen in der Endoskopie, die die erforderliche Ausbildung, Kenntnis und Erfahrung haben.</w:t>
      </w:r>
    </w:p>
    <w:p w14:paraId="7C8EC721" w14:textId="77777777" w:rsidR="00B220CC" w:rsidRDefault="00B220CC">
      <w:pPr>
        <w:pStyle w:val="Textkrper"/>
        <w:rPr>
          <w:sz w:val="22"/>
        </w:rPr>
      </w:pPr>
    </w:p>
    <w:p w14:paraId="0C7A2FB5" w14:textId="77777777" w:rsidR="00B220CC" w:rsidRDefault="00B220CC">
      <w:pPr>
        <w:pStyle w:val="Textkrper"/>
        <w:spacing w:before="4"/>
        <w:rPr>
          <w:sz w:val="19"/>
        </w:rPr>
      </w:pPr>
    </w:p>
    <w:p w14:paraId="4684E9D3" w14:textId="77777777" w:rsidR="00B220CC" w:rsidRDefault="00226A83">
      <w:pPr>
        <w:pStyle w:val="berschrift1"/>
        <w:numPr>
          <w:ilvl w:val="0"/>
          <w:numId w:val="1"/>
        </w:numPr>
        <w:tabs>
          <w:tab w:val="left" w:pos="630"/>
          <w:tab w:val="left" w:pos="631"/>
        </w:tabs>
        <w:ind w:hanging="433"/>
      </w:pPr>
      <w:r>
        <w:t>Durchführung</w:t>
      </w:r>
    </w:p>
    <w:p w14:paraId="740B30E5" w14:textId="77777777" w:rsidR="00B220CC" w:rsidRDefault="00B220CC">
      <w:pPr>
        <w:pStyle w:val="Textkrper"/>
        <w:spacing w:before="5"/>
        <w:rPr>
          <w:b/>
          <w:sz w:val="21"/>
        </w:rPr>
      </w:pPr>
    </w:p>
    <w:p w14:paraId="6C5FBAF3" w14:textId="77777777" w:rsidR="00B220CC" w:rsidRDefault="00226A83">
      <w:pPr>
        <w:spacing w:line="252" w:lineRule="exact"/>
        <w:ind w:left="198"/>
        <w:jc w:val="both"/>
        <w:rPr>
          <w:b/>
        </w:rPr>
      </w:pPr>
      <w:r>
        <w:rPr>
          <w:b/>
        </w:rPr>
        <w:t>Bereich – Medikamentenvorbereitung und Lagerung</w:t>
      </w:r>
    </w:p>
    <w:p w14:paraId="2F93DC90" w14:textId="77777777" w:rsidR="00B220CC" w:rsidRDefault="00226A83">
      <w:pPr>
        <w:pStyle w:val="Textkrper"/>
        <w:ind w:left="198" w:right="400"/>
        <w:jc w:val="both"/>
      </w:pPr>
      <w:r>
        <w:t xml:space="preserve">Die Inbetriebnahme erfolgt mit einer Wischdesinfektion der Arbeitsfläche die im Fall einer </w:t>
      </w:r>
      <w:r>
        <w:t>späteren Kontamination</w:t>
      </w:r>
      <w:r>
        <w:rPr>
          <w:spacing w:val="-9"/>
        </w:rPr>
        <w:t xml:space="preserve"> </w:t>
      </w:r>
      <w:r>
        <w:t>unverzüglich</w:t>
      </w:r>
      <w:r>
        <w:rPr>
          <w:spacing w:val="-6"/>
        </w:rPr>
        <w:t xml:space="preserve"> </w:t>
      </w:r>
      <w:r>
        <w:t>zu</w:t>
      </w:r>
      <w:r>
        <w:rPr>
          <w:spacing w:val="-8"/>
        </w:rPr>
        <w:t xml:space="preserve"> </w:t>
      </w:r>
      <w:r>
        <w:t>wiederholen</w:t>
      </w:r>
      <w:r>
        <w:rPr>
          <w:spacing w:val="-7"/>
        </w:rPr>
        <w:t xml:space="preserve"> </w:t>
      </w:r>
      <w:r>
        <w:t>ist</w:t>
      </w:r>
      <w:r>
        <w:rPr>
          <w:spacing w:val="-8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Verschleppung</w:t>
      </w:r>
      <w:r>
        <w:rPr>
          <w:spacing w:val="-6"/>
        </w:rPr>
        <w:t xml:space="preserve"> </w:t>
      </w:r>
      <w:r>
        <w:t>dieser</w:t>
      </w:r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deren</w:t>
      </w:r>
      <w:r>
        <w:rPr>
          <w:spacing w:val="-6"/>
        </w:rPr>
        <w:t xml:space="preserve"> </w:t>
      </w:r>
      <w:r>
        <w:t>Auswirkungen</w:t>
      </w:r>
      <w:r>
        <w:rPr>
          <w:spacing w:val="-9"/>
        </w:rPr>
        <w:t xml:space="preserve"> </w:t>
      </w:r>
      <w:r>
        <w:t>zu unterbinden.</w:t>
      </w:r>
    </w:p>
    <w:p w14:paraId="56814386" w14:textId="77777777" w:rsidR="00B220CC" w:rsidRDefault="00226A83">
      <w:pPr>
        <w:pStyle w:val="Textkrper"/>
        <w:spacing w:before="1"/>
        <w:ind w:left="198" w:right="404"/>
        <w:jc w:val="both"/>
      </w:pPr>
      <w:r>
        <w:t>Der Spitzmüllcontainer, der in der Arbeitsfläche eingesetzt ist, wird durch regelmäßiges Ersetzen vor Überfüllung und unsachgemäßer B</w:t>
      </w:r>
      <w:r>
        <w:t>efüllung geschützt.</w:t>
      </w:r>
    </w:p>
    <w:p w14:paraId="380842E6" w14:textId="77777777" w:rsidR="00B220CC" w:rsidRDefault="00226A83">
      <w:pPr>
        <w:pStyle w:val="Textkrper"/>
        <w:ind w:left="198" w:right="397"/>
        <w:jc w:val="both"/>
      </w:pPr>
      <w:r>
        <w:t>Selten</w:t>
      </w:r>
      <w:r>
        <w:rPr>
          <w:spacing w:val="-9"/>
        </w:rPr>
        <w:t xml:space="preserve"> </w:t>
      </w:r>
      <w:r>
        <w:t>verwendete</w:t>
      </w:r>
      <w:r>
        <w:rPr>
          <w:spacing w:val="-6"/>
        </w:rPr>
        <w:t xml:space="preserve"> </w:t>
      </w:r>
      <w:r>
        <w:t>Medikamente,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während</w:t>
      </w:r>
      <w:r>
        <w:rPr>
          <w:spacing w:val="-8"/>
        </w:rPr>
        <w:t xml:space="preserve"> </w:t>
      </w:r>
      <w:r>
        <w:t>einer</w:t>
      </w:r>
      <w:r>
        <w:rPr>
          <w:spacing w:val="-7"/>
        </w:rPr>
        <w:t xml:space="preserve"> </w:t>
      </w:r>
      <w:r>
        <w:t>Untersuchung</w:t>
      </w:r>
      <w:r>
        <w:rPr>
          <w:spacing w:val="-8"/>
        </w:rPr>
        <w:t xml:space="preserve"> </w:t>
      </w:r>
      <w:r>
        <w:t>schnellstmöglich</w:t>
      </w:r>
      <w:r>
        <w:rPr>
          <w:spacing w:val="-8"/>
        </w:rPr>
        <w:t xml:space="preserve"> </w:t>
      </w:r>
      <w:r>
        <w:t>zur</w:t>
      </w:r>
      <w:r>
        <w:rPr>
          <w:spacing w:val="-7"/>
        </w:rPr>
        <w:t xml:space="preserve"> </w:t>
      </w:r>
      <w:r>
        <w:t>Verfügung</w:t>
      </w:r>
      <w:r>
        <w:rPr>
          <w:spacing w:val="-8"/>
        </w:rPr>
        <w:t xml:space="preserve"> </w:t>
      </w:r>
      <w:r>
        <w:t>stehen sollten (Anexate, Buscapina, Paspertin, Suprarenin), werden mitsamt einem Applikationsset (Injektionsnadel, Einmalspritze) auf einem sau</w:t>
      </w:r>
      <w:r>
        <w:t>beren kleinen Tablett auf der Arbeitsfläche zur Verfügung gestellt.</w:t>
      </w:r>
    </w:p>
    <w:p w14:paraId="2FFB3584" w14:textId="77777777" w:rsidR="00B220CC" w:rsidRDefault="00226A83">
      <w:pPr>
        <w:pStyle w:val="Textkrper"/>
        <w:ind w:left="198" w:right="396"/>
        <w:jc w:val="both"/>
      </w:pPr>
      <w:r>
        <w:t>Verfallsdaten oder Beschädigungen sind vor der Bereitstellung zu prüfen und gegebenenfalls müssen die Medikamente verworfen und ersetzt werden.</w:t>
      </w:r>
    </w:p>
    <w:p w14:paraId="5340D920" w14:textId="77777777" w:rsidR="00B220CC" w:rsidRDefault="00226A83">
      <w:pPr>
        <w:pStyle w:val="Textkrper"/>
        <w:ind w:left="198" w:right="393"/>
        <w:jc w:val="both"/>
      </w:pPr>
      <w:r>
        <w:t>Das</w:t>
      </w:r>
      <w:r>
        <w:rPr>
          <w:spacing w:val="-15"/>
        </w:rPr>
        <w:t xml:space="preserve"> </w:t>
      </w:r>
      <w:r>
        <w:t>Vorbereiten</w:t>
      </w:r>
      <w:r>
        <w:rPr>
          <w:spacing w:val="-16"/>
        </w:rPr>
        <w:t xml:space="preserve"> </w:t>
      </w:r>
      <w:r>
        <w:t>der</w:t>
      </w:r>
      <w:r>
        <w:rPr>
          <w:spacing w:val="-15"/>
        </w:rPr>
        <w:t xml:space="preserve"> </w:t>
      </w:r>
      <w:r>
        <w:t>Medikamente</w:t>
      </w:r>
      <w:r>
        <w:rPr>
          <w:spacing w:val="-15"/>
        </w:rPr>
        <w:t xml:space="preserve"> </w:t>
      </w:r>
      <w:r>
        <w:t>wird</w:t>
      </w:r>
      <w:r>
        <w:rPr>
          <w:spacing w:val="-16"/>
        </w:rPr>
        <w:t xml:space="preserve"> </w:t>
      </w:r>
      <w:r>
        <w:t>unmitte</w:t>
      </w:r>
      <w:r>
        <w:t>lbar</w:t>
      </w:r>
      <w:r>
        <w:rPr>
          <w:spacing w:val="-14"/>
        </w:rPr>
        <w:t xml:space="preserve"> </w:t>
      </w:r>
      <w:r>
        <w:t>vor</w:t>
      </w:r>
      <w:r>
        <w:rPr>
          <w:spacing w:val="-15"/>
        </w:rPr>
        <w:t xml:space="preserve"> </w:t>
      </w:r>
      <w:r>
        <w:t>Untersuchungsbeginn</w:t>
      </w:r>
      <w:r>
        <w:rPr>
          <w:spacing w:val="-15"/>
        </w:rPr>
        <w:t xml:space="preserve"> </w:t>
      </w:r>
      <w:r>
        <w:t>für</w:t>
      </w:r>
      <w:r>
        <w:rPr>
          <w:spacing w:val="-15"/>
        </w:rPr>
        <w:t xml:space="preserve"> </w:t>
      </w:r>
      <w:r>
        <w:t>einen</w:t>
      </w:r>
      <w:r>
        <w:rPr>
          <w:spacing w:val="-15"/>
        </w:rPr>
        <w:t xml:space="preserve"> </w:t>
      </w:r>
      <w:r>
        <w:t>einzelnen</w:t>
      </w:r>
      <w:r>
        <w:rPr>
          <w:spacing w:val="-16"/>
        </w:rPr>
        <w:t xml:space="preserve"> </w:t>
      </w:r>
      <w:r>
        <w:t>Patienten durchgeführt (Dormicum, Propofol). Nicht verwendetet aber Vorbereitete Medikamente, sowie leere und angebrochene Ampullen, werden spätestens nach Untersuchungsende</w:t>
      </w:r>
      <w:r>
        <w:rPr>
          <w:spacing w:val="-4"/>
        </w:rPr>
        <w:t xml:space="preserve"> </w:t>
      </w:r>
      <w:r>
        <w:t>verworfen.</w:t>
      </w:r>
    </w:p>
    <w:p w14:paraId="79D68819" w14:textId="77777777" w:rsidR="00B220CC" w:rsidRDefault="00B220CC">
      <w:pPr>
        <w:pStyle w:val="Textkrper"/>
        <w:spacing w:before="1"/>
      </w:pPr>
    </w:p>
    <w:p w14:paraId="3630215E" w14:textId="77777777" w:rsidR="00B220CC" w:rsidRDefault="00226A83">
      <w:pPr>
        <w:pStyle w:val="berschrift1"/>
        <w:spacing w:line="252" w:lineRule="exact"/>
        <w:ind w:left="198" w:firstLine="0"/>
      </w:pPr>
      <w:r>
        <w:t>Propofol</w:t>
      </w:r>
    </w:p>
    <w:p w14:paraId="6F7CD768" w14:textId="77777777" w:rsidR="00B220CC" w:rsidRDefault="00226A83">
      <w:pPr>
        <w:pStyle w:val="Textkrper"/>
        <w:spacing w:line="229" w:lineRule="exact"/>
        <w:ind w:left="198"/>
      </w:pPr>
      <w:r>
        <w:t>Propofol 1% wird ausschließlich zur intravenösen Applikation verwendet.</w:t>
      </w:r>
    </w:p>
    <w:p w14:paraId="23609CD4" w14:textId="77777777" w:rsidR="00B220CC" w:rsidRDefault="00226A83">
      <w:pPr>
        <w:pStyle w:val="Textkrper"/>
        <w:spacing w:before="1"/>
        <w:ind w:left="198" w:right="399"/>
        <w:jc w:val="both"/>
      </w:pPr>
      <w:r>
        <w:t>Es wird unter visueller Kontrolle des Arztes (4 Augen Prinzip) und nur unmittelbar vor Verwendung ausschließlich in 2x 10ml Spritzen à 10ml aufgezogen.</w:t>
      </w:r>
    </w:p>
    <w:p w14:paraId="4C6D4828" w14:textId="77777777" w:rsidR="00B220CC" w:rsidRDefault="00226A83">
      <w:pPr>
        <w:pStyle w:val="Textkrper"/>
        <w:ind w:left="198" w:right="390"/>
        <w:jc w:val="both"/>
      </w:pPr>
      <w:r>
        <w:t>Es</w:t>
      </w:r>
      <w:r>
        <w:rPr>
          <w:spacing w:val="-3"/>
        </w:rPr>
        <w:t xml:space="preserve"> </w:t>
      </w:r>
      <w:r>
        <w:t>wird</w:t>
      </w:r>
      <w:r>
        <w:rPr>
          <w:spacing w:val="-4"/>
        </w:rPr>
        <w:t xml:space="preserve"> </w:t>
      </w:r>
      <w:r>
        <w:t>direkt</w:t>
      </w:r>
      <w:r>
        <w:rPr>
          <w:spacing w:val="-3"/>
        </w:rPr>
        <w:t xml:space="preserve"> </w:t>
      </w:r>
      <w:r>
        <w:t>nach</w:t>
      </w:r>
      <w:r>
        <w:rPr>
          <w:spacing w:val="-4"/>
        </w:rPr>
        <w:t xml:space="preserve"> </w:t>
      </w:r>
      <w:r>
        <w:t>dem</w:t>
      </w:r>
      <w:r>
        <w:rPr>
          <w:spacing w:val="-1"/>
        </w:rPr>
        <w:t xml:space="preserve"> </w:t>
      </w:r>
      <w:r>
        <w:t>Aufziehe</w:t>
      </w:r>
      <w:r>
        <w:t>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Spritze,</w:t>
      </w:r>
      <w:r>
        <w:rPr>
          <w:spacing w:val="-3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einem</w:t>
      </w:r>
      <w:r>
        <w:rPr>
          <w:spacing w:val="-3"/>
        </w:rPr>
        <w:t xml:space="preserve"> </w:t>
      </w:r>
      <w:r>
        <w:t>sterilen</w:t>
      </w:r>
      <w:r>
        <w:rPr>
          <w:spacing w:val="-2"/>
        </w:rPr>
        <w:t xml:space="preserve"> </w:t>
      </w:r>
      <w:r>
        <w:t>Kombistopfen</w:t>
      </w:r>
      <w:r>
        <w:rPr>
          <w:spacing w:val="-3"/>
        </w:rPr>
        <w:t xml:space="preserve"> </w:t>
      </w:r>
      <w:r>
        <w:t>versehen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wieder</w:t>
      </w:r>
      <w:r>
        <w:rPr>
          <w:spacing w:val="5"/>
        </w:rPr>
        <w:t xml:space="preserve"> </w:t>
      </w:r>
      <w:r>
        <w:t>in die innen noch weitestgehend sterile Originalverpackung der Spritze zurück gesteckt um eine bakterielle Kontamination der Emulsion zu</w:t>
      </w:r>
      <w:r>
        <w:rPr>
          <w:spacing w:val="-5"/>
        </w:rPr>
        <w:t xml:space="preserve"> </w:t>
      </w:r>
      <w:r>
        <w:t>verhindern!</w:t>
      </w:r>
    </w:p>
    <w:p w14:paraId="177609E4" w14:textId="77777777" w:rsidR="00B220CC" w:rsidRDefault="00226A83">
      <w:pPr>
        <w:pStyle w:val="Textkrper"/>
        <w:ind w:left="198" w:right="401"/>
        <w:jc w:val="both"/>
      </w:pPr>
      <w:r>
        <w:t>Bei einer Untersuchung verwendete, le</w:t>
      </w:r>
      <w:r>
        <w:t>ere sowie nicht zur Gänze aufgebrauchte Spritzen, werden direkt nach der Untersuchung sofort entsorgt!</w:t>
      </w:r>
    </w:p>
    <w:p w14:paraId="26661DC3" w14:textId="77777777" w:rsidR="00B220CC" w:rsidRDefault="00226A83">
      <w:pPr>
        <w:pStyle w:val="Textkrper"/>
        <w:ind w:left="198" w:right="397"/>
        <w:jc w:val="both"/>
      </w:pPr>
      <w:r>
        <w:t>Gänzlich unversehrte Spritzen die korrekt aufgezogen, mit einem sterilen Kombistopfen versehen wurden und in ihrer Originalverpackung stecken, und bei de</w:t>
      </w:r>
      <w:r>
        <w:t>m Patienten doch nicht zur Verwendung gekommen sind, werden EBENFALLS VERWORFEN.</w:t>
      </w:r>
    </w:p>
    <w:p w14:paraId="36908294" w14:textId="77777777" w:rsidR="00B220CC" w:rsidRDefault="00226A83">
      <w:pPr>
        <w:pStyle w:val="Textkrper"/>
        <w:spacing w:line="229" w:lineRule="exact"/>
        <w:ind w:left="198"/>
      </w:pPr>
      <w:r>
        <w:t>Angebrochene Ampullen werden aus Sicherheitsgründen sofort verworfen.</w:t>
      </w:r>
    </w:p>
    <w:p w14:paraId="60EE3F35" w14:textId="77777777" w:rsidR="00B220CC" w:rsidRDefault="00B220CC">
      <w:pPr>
        <w:pStyle w:val="Textkrper"/>
      </w:pPr>
    </w:p>
    <w:p w14:paraId="2EFBAD1F" w14:textId="77777777" w:rsidR="00B220CC" w:rsidRDefault="00B220CC">
      <w:pPr>
        <w:pStyle w:val="Textkrper"/>
      </w:pPr>
    </w:p>
    <w:p w14:paraId="082D4213" w14:textId="77777777" w:rsidR="00B220CC" w:rsidRDefault="00B220CC">
      <w:pPr>
        <w:pStyle w:val="Textkrper"/>
      </w:pPr>
    </w:p>
    <w:p w14:paraId="4B4C9523" w14:textId="77777777" w:rsidR="00B220CC" w:rsidRDefault="00B220CC">
      <w:pPr>
        <w:pStyle w:val="Textkrper"/>
      </w:pPr>
    </w:p>
    <w:p w14:paraId="54024F6F" w14:textId="77777777" w:rsidR="00B220CC" w:rsidRDefault="00B220CC">
      <w:pPr>
        <w:pStyle w:val="Textkrper"/>
      </w:pPr>
    </w:p>
    <w:p w14:paraId="77AE287E" w14:textId="77777777" w:rsidR="00B220CC" w:rsidRDefault="00B220CC">
      <w:pPr>
        <w:pStyle w:val="Textkrper"/>
      </w:pPr>
    </w:p>
    <w:p w14:paraId="6F545B70" w14:textId="77777777" w:rsidR="00B220CC" w:rsidRDefault="00B220CC">
      <w:pPr>
        <w:pStyle w:val="Textkrper"/>
      </w:pPr>
    </w:p>
    <w:p w14:paraId="1244C6A9" w14:textId="77777777" w:rsidR="00B220CC" w:rsidRDefault="00B220CC">
      <w:pPr>
        <w:pStyle w:val="Textkrper"/>
      </w:pPr>
    </w:p>
    <w:p w14:paraId="7385F551" w14:textId="77777777" w:rsidR="00B220CC" w:rsidRDefault="00B220CC">
      <w:pPr>
        <w:pStyle w:val="Textkrper"/>
        <w:spacing w:before="5"/>
        <w:rPr>
          <w:sz w:val="26"/>
        </w:rPr>
      </w:pPr>
    </w:p>
    <w:p w14:paraId="75211FE8" w14:textId="77777777" w:rsidR="00B220CC" w:rsidRDefault="00226A83">
      <w:pPr>
        <w:spacing w:before="95"/>
        <w:ind w:right="385"/>
        <w:jc w:val="right"/>
        <w:rPr>
          <w:sz w:val="16"/>
        </w:rPr>
      </w:pPr>
      <w:r>
        <w:rPr>
          <w:sz w:val="16"/>
        </w:rPr>
        <w:t>Seite 1 von 1</w:t>
      </w:r>
    </w:p>
    <w:sectPr w:rsidR="00B220CC">
      <w:type w:val="continuous"/>
      <w:pgSz w:w="11910" w:h="16840"/>
      <w:pgMar w:top="70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ECD"/>
    <w:multiLevelType w:val="hybridMultilevel"/>
    <w:tmpl w:val="F11C7532"/>
    <w:lvl w:ilvl="0" w:tplc="5F387B30">
      <w:start w:val="1"/>
      <w:numFmt w:val="decimal"/>
      <w:lvlText w:val="%1"/>
      <w:lvlJc w:val="left"/>
      <w:pPr>
        <w:ind w:left="630" w:hanging="43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82A4572A">
      <w:numFmt w:val="bullet"/>
      <w:lvlText w:val="•"/>
      <w:lvlJc w:val="left"/>
      <w:pPr>
        <w:ind w:left="1570" w:hanging="432"/>
      </w:pPr>
      <w:rPr>
        <w:rFonts w:hint="default"/>
        <w:lang w:val="de-DE" w:eastAsia="de-DE" w:bidi="de-DE"/>
      </w:rPr>
    </w:lvl>
    <w:lvl w:ilvl="2" w:tplc="3A1820B8">
      <w:numFmt w:val="bullet"/>
      <w:lvlText w:val="•"/>
      <w:lvlJc w:val="left"/>
      <w:pPr>
        <w:ind w:left="2500" w:hanging="432"/>
      </w:pPr>
      <w:rPr>
        <w:rFonts w:hint="default"/>
        <w:lang w:val="de-DE" w:eastAsia="de-DE" w:bidi="de-DE"/>
      </w:rPr>
    </w:lvl>
    <w:lvl w:ilvl="3" w:tplc="B882FEE0">
      <w:numFmt w:val="bullet"/>
      <w:lvlText w:val="•"/>
      <w:lvlJc w:val="left"/>
      <w:pPr>
        <w:ind w:left="3431" w:hanging="432"/>
      </w:pPr>
      <w:rPr>
        <w:rFonts w:hint="default"/>
        <w:lang w:val="de-DE" w:eastAsia="de-DE" w:bidi="de-DE"/>
      </w:rPr>
    </w:lvl>
    <w:lvl w:ilvl="4" w:tplc="682CC5CE">
      <w:numFmt w:val="bullet"/>
      <w:lvlText w:val="•"/>
      <w:lvlJc w:val="left"/>
      <w:pPr>
        <w:ind w:left="4361" w:hanging="432"/>
      </w:pPr>
      <w:rPr>
        <w:rFonts w:hint="default"/>
        <w:lang w:val="de-DE" w:eastAsia="de-DE" w:bidi="de-DE"/>
      </w:rPr>
    </w:lvl>
    <w:lvl w:ilvl="5" w:tplc="EF94AFD4">
      <w:numFmt w:val="bullet"/>
      <w:lvlText w:val="•"/>
      <w:lvlJc w:val="left"/>
      <w:pPr>
        <w:ind w:left="5292" w:hanging="432"/>
      </w:pPr>
      <w:rPr>
        <w:rFonts w:hint="default"/>
        <w:lang w:val="de-DE" w:eastAsia="de-DE" w:bidi="de-DE"/>
      </w:rPr>
    </w:lvl>
    <w:lvl w:ilvl="6" w:tplc="F0AEF104">
      <w:numFmt w:val="bullet"/>
      <w:lvlText w:val="•"/>
      <w:lvlJc w:val="left"/>
      <w:pPr>
        <w:ind w:left="6222" w:hanging="432"/>
      </w:pPr>
      <w:rPr>
        <w:rFonts w:hint="default"/>
        <w:lang w:val="de-DE" w:eastAsia="de-DE" w:bidi="de-DE"/>
      </w:rPr>
    </w:lvl>
    <w:lvl w:ilvl="7" w:tplc="AA46C540">
      <w:numFmt w:val="bullet"/>
      <w:lvlText w:val="•"/>
      <w:lvlJc w:val="left"/>
      <w:pPr>
        <w:ind w:left="7152" w:hanging="432"/>
      </w:pPr>
      <w:rPr>
        <w:rFonts w:hint="default"/>
        <w:lang w:val="de-DE" w:eastAsia="de-DE" w:bidi="de-DE"/>
      </w:rPr>
    </w:lvl>
    <w:lvl w:ilvl="8" w:tplc="DA80F78C">
      <w:numFmt w:val="bullet"/>
      <w:lvlText w:val="•"/>
      <w:lvlJc w:val="left"/>
      <w:pPr>
        <w:ind w:left="8083" w:hanging="432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CC"/>
    <w:rsid w:val="00226A83"/>
    <w:rsid w:val="00B2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998A7AC"/>
  <w15:docId w15:val="{A9ACED91-AE86-4A54-A395-B67F9842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ind w:left="630" w:hanging="433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630" w:hanging="433"/>
    </w:pPr>
  </w:style>
  <w:style w:type="paragraph" w:customStyle="1" w:styleId="TableParagraph">
    <w:name w:val="Table Paragraph"/>
    <w:basedOn w:val="Standard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Muster-SOP</dc:title>
  <dc:creator>Helmut</dc:creator>
  <cp:lastModifiedBy>Gerald Oppeck</cp:lastModifiedBy>
  <cp:revision>2</cp:revision>
  <dcterms:created xsi:type="dcterms:W3CDTF">2020-02-24T09:53:00Z</dcterms:created>
  <dcterms:modified xsi:type="dcterms:W3CDTF">2021-06-04T09:07:00Z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2020-02-24T00:00:00Z</vt:filetime>
  </property>
</Properties>
</file>