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0903" w14:textId="77777777" w:rsidR="00340F81" w:rsidRDefault="00E3171D">
      <w:pPr>
        <w:pStyle w:val="Textkrper"/>
        <w:ind w:left="96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470E32E9">
          <v:group id="_x0000_s1026" style="width:488.2pt;height:84pt;mso-position-horizontal-relative:char;mso-position-vertical-relative:line" coordsize="9764,16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901;top:21;width:6840;height:1637" filled="f" strokeweight="2.16pt">
              <v:textbox style="mso-next-textbox:#_x0000_s1028" inset="0,0,0,0">
                <w:txbxContent>
                  <w:p w14:paraId="06C3E978" w14:textId="77777777" w:rsidR="00340F81" w:rsidRDefault="00340F81">
                    <w:pPr>
                      <w:rPr>
                        <w:rFonts w:ascii="Times New Roman"/>
                        <w:sz w:val="26"/>
                      </w:rPr>
                    </w:pPr>
                  </w:p>
                  <w:p w14:paraId="24E04563" w14:textId="77777777" w:rsidR="00340F81" w:rsidRDefault="00340F81">
                    <w:pPr>
                      <w:spacing w:before="4"/>
                      <w:rPr>
                        <w:rFonts w:ascii="Times New Roman"/>
                        <w:sz w:val="25"/>
                      </w:rPr>
                    </w:pPr>
                  </w:p>
                  <w:p w14:paraId="4AD2A18F" w14:textId="77777777" w:rsidR="00340F81" w:rsidRDefault="00E3171D">
                    <w:pPr>
                      <w:ind w:left="181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SAA 18 – Sterilgutversorgung</w:t>
                    </w:r>
                  </w:p>
                </w:txbxContent>
              </v:textbox>
            </v:shape>
            <v:shape id="_x0000_s1027" type="#_x0000_t202" style="position:absolute;left:21;top:21;width:2880;height:1637" filled="f" strokeweight="2.16pt">
              <v:textbox style="mso-next-textbox:#_x0000_s1027" inset="0,0,0,0">
                <w:txbxContent>
                  <w:p w14:paraId="6CA58835" w14:textId="77777777" w:rsidR="00340F81" w:rsidRDefault="00340F81">
                    <w:pPr>
                      <w:rPr>
                        <w:rFonts w:ascii="Times New Roman"/>
                        <w:sz w:val="24"/>
                      </w:rPr>
                    </w:pPr>
                  </w:p>
                  <w:p w14:paraId="25674B12" w14:textId="77777777" w:rsidR="00340F81" w:rsidRDefault="00340F81">
                    <w:pPr>
                      <w:rPr>
                        <w:rFonts w:ascii="Times New Roman"/>
                        <w:sz w:val="29"/>
                      </w:rPr>
                    </w:pPr>
                  </w:p>
                  <w:p w14:paraId="06B7C816" w14:textId="0260CEF2" w:rsidR="00340F81" w:rsidRDefault="00E3171D">
                    <w:pPr>
                      <w:ind w:left="47"/>
                      <w:rPr>
                        <w:b/>
                      </w:rPr>
                    </w:pPr>
                    <w:r>
                      <w:rPr>
                        <w:b/>
                      </w:rPr>
                      <w:t>Ordination Dr. NN</w:t>
                    </w:r>
                  </w:p>
                </w:txbxContent>
              </v:textbox>
            </v:shape>
            <w10:anchorlock/>
          </v:group>
        </w:pict>
      </w:r>
    </w:p>
    <w:p w14:paraId="7BEDAA6D" w14:textId="77777777" w:rsidR="00340F81" w:rsidRDefault="00340F81">
      <w:pPr>
        <w:pStyle w:val="Textkrper"/>
        <w:spacing w:before="8"/>
        <w:rPr>
          <w:rFonts w:ascii="Times New Roman"/>
          <w:sz w:val="22"/>
        </w:rPr>
      </w:pPr>
    </w:p>
    <w:tbl>
      <w:tblPr>
        <w:tblStyle w:val="TableNormal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3240"/>
        <w:gridCol w:w="1416"/>
        <w:gridCol w:w="3403"/>
      </w:tblGrid>
      <w:tr w:rsidR="00340F81" w14:paraId="38684BB0" w14:textId="77777777">
        <w:trPr>
          <w:trHeight w:val="371"/>
        </w:trPr>
        <w:tc>
          <w:tcPr>
            <w:tcW w:w="1582" w:type="dxa"/>
          </w:tcPr>
          <w:p w14:paraId="67B01EFE" w14:textId="77777777" w:rsidR="00340F81" w:rsidRDefault="00E3171D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Erstellt:</w:t>
            </w:r>
          </w:p>
        </w:tc>
        <w:tc>
          <w:tcPr>
            <w:tcW w:w="3240" w:type="dxa"/>
          </w:tcPr>
          <w:p w14:paraId="6AA1D8CD" w14:textId="54C0D83B" w:rsidR="00340F81" w:rsidRDefault="00E3171D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1416" w:type="dxa"/>
          </w:tcPr>
          <w:p w14:paraId="5E072B34" w14:textId="77777777" w:rsidR="00340F81" w:rsidRDefault="00E3171D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Unterschrift:</w:t>
            </w:r>
          </w:p>
        </w:tc>
        <w:tc>
          <w:tcPr>
            <w:tcW w:w="3403" w:type="dxa"/>
          </w:tcPr>
          <w:p w14:paraId="541157F6" w14:textId="77777777" w:rsidR="00340F81" w:rsidRDefault="00340F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40F81" w14:paraId="6C943F35" w14:textId="77777777">
        <w:trPr>
          <w:trHeight w:val="335"/>
        </w:trPr>
        <w:tc>
          <w:tcPr>
            <w:tcW w:w="1582" w:type="dxa"/>
          </w:tcPr>
          <w:p w14:paraId="142C782E" w14:textId="77777777" w:rsidR="00340F81" w:rsidRDefault="00E3171D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Freigegeben:</w:t>
            </w:r>
          </w:p>
        </w:tc>
        <w:tc>
          <w:tcPr>
            <w:tcW w:w="3240" w:type="dxa"/>
          </w:tcPr>
          <w:p w14:paraId="090B3D01" w14:textId="373DD7B2" w:rsidR="00340F81" w:rsidRDefault="00E3171D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Dr. NN</w:t>
            </w:r>
          </w:p>
        </w:tc>
        <w:tc>
          <w:tcPr>
            <w:tcW w:w="1416" w:type="dxa"/>
          </w:tcPr>
          <w:p w14:paraId="0F2FFCFF" w14:textId="77777777" w:rsidR="00340F81" w:rsidRDefault="00E3171D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Unterschrift:</w:t>
            </w:r>
          </w:p>
        </w:tc>
        <w:tc>
          <w:tcPr>
            <w:tcW w:w="3403" w:type="dxa"/>
          </w:tcPr>
          <w:p w14:paraId="3F098DDD" w14:textId="77777777" w:rsidR="00340F81" w:rsidRDefault="00340F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40F81" w14:paraId="6C12B272" w14:textId="77777777">
        <w:trPr>
          <w:trHeight w:val="340"/>
        </w:trPr>
        <w:tc>
          <w:tcPr>
            <w:tcW w:w="1582" w:type="dxa"/>
          </w:tcPr>
          <w:p w14:paraId="0E49D1FD" w14:textId="77777777" w:rsidR="00340F81" w:rsidRDefault="00E3171D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Gültig ab:</w:t>
            </w:r>
          </w:p>
        </w:tc>
        <w:tc>
          <w:tcPr>
            <w:tcW w:w="3240" w:type="dxa"/>
          </w:tcPr>
          <w:p w14:paraId="41098298" w14:textId="77777777" w:rsidR="00340F81" w:rsidRDefault="00E3171D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August 2019</w:t>
            </w:r>
          </w:p>
        </w:tc>
        <w:tc>
          <w:tcPr>
            <w:tcW w:w="1416" w:type="dxa"/>
          </w:tcPr>
          <w:p w14:paraId="24E3D717" w14:textId="77777777" w:rsidR="00340F81" w:rsidRDefault="00340F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</w:tcPr>
          <w:p w14:paraId="53BF46F9" w14:textId="77777777" w:rsidR="00340F81" w:rsidRDefault="00340F8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454A026" w14:textId="77777777" w:rsidR="00340F81" w:rsidRDefault="00340F81">
      <w:pPr>
        <w:pStyle w:val="Textkrper"/>
        <w:spacing w:before="2"/>
        <w:rPr>
          <w:rFonts w:ascii="Times New Roman"/>
          <w:sz w:val="24"/>
        </w:rPr>
      </w:pPr>
    </w:p>
    <w:p w14:paraId="5D909876" w14:textId="77777777" w:rsidR="00340F81" w:rsidRDefault="00E3171D">
      <w:pPr>
        <w:pStyle w:val="berschrift1"/>
        <w:numPr>
          <w:ilvl w:val="0"/>
          <w:numId w:val="1"/>
        </w:numPr>
        <w:tabs>
          <w:tab w:val="left" w:pos="730"/>
          <w:tab w:val="left" w:pos="731"/>
        </w:tabs>
        <w:spacing w:before="94"/>
        <w:ind w:hanging="433"/>
      </w:pPr>
      <w:r>
        <w:t>Zweck</w:t>
      </w:r>
    </w:p>
    <w:p w14:paraId="0F35CBB9" w14:textId="77777777" w:rsidR="00340F81" w:rsidRDefault="00340F81">
      <w:pPr>
        <w:pStyle w:val="Textkrper"/>
        <w:spacing w:before="4"/>
        <w:rPr>
          <w:b/>
          <w:sz w:val="21"/>
        </w:rPr>
      </w:pPr>
    </w:p>
    <w:p w14:paraId="1DD53E6B" w14:textId="77777777" w:rsidR="00340F81" w:rsidRDefault="00E3171D">
      <w:pPr>
        <w:pStyle w:val="Textkrper"/>
        <w:ind w:left="298"/>
      </w:pPr>
      <w:r>
        <w:t>Diese Standard – Arbeitsanweisung (SAA) regelt den richtigen Umgang der Sterilgutversorgung</w:t>
      </w:r>
    </w:p>
    <w:p w14:paraId="18C849EB" w14:textId="77777777" w:rsidR="00340F81" w:rsidRDefault="00340F81">
      <w:pPr>
        <w:pStyle w:val="Textkrper"/>
        <w:rPr>
          <w:sz w:val="22"/>
        </w:rPr>
      </w:pPr>
    </w:p>
    <w:p w14:paraId="56C874F1" w14:textId="77777777" w:rsidR="00340F81" w:rsidRDefault="00340F81">
      <w:pPr>
        <w:pStyle w:val="Textkrper"/>
        <w:spacing w:before="4"/>
        <w:rPr>
          <w:sz w:val="19"/>
        </w:rPr>
      </w:pPr>
    </w:p>
    <w:p w14:paraId="633B20B5" w14:textId="77777777" w:rsidR="00340F81" w:rsidRDefault="00E3171D">
      <w:pPr>
        <w:pStyle w:val="berschrift1"/>
        <w:numPr>
          <w:ilvl w:val="0"/>
          <w:numId w:val="1"/>
        </w:numPr>
        <w:tabs>
          <w:tab w:val="left" w:pos="730"/>
          <w:tab w:val="left" w:pos="731"/>
        </w:tabs>
        <w:ind w:hanging="433"/>
      </w:pPr>
      <w:r>
        <w:t>Verantwortlichkeiten</w:t>
      </w:r>
    </w:p>
    <w:p w14:paraId="6E62B3D1" w14:textId="77777777" w:rsidR="00340F81" w:rsidRDefault="00340F81">
      <w:pPr>
        <w:pStyle w:val="Textkrper"/>
        <w:spacing w:before="4"/>
        <w:rPr>
          <w:b/>
          <w:sz w:val="21"/>
        </w:rPr>
      </w:pPr>
    </w:p>
    <w:p w14:paraId="5B9940A0" w14:textId="77777777" w:rsidR="00340F81" w:rsidRDefault="00E3171D">
      <w:pPr>
        <w:pStyle w:val="Textkrper"/>
        <w:ind w:left="298"/>
      </w:pPr>
      <w:r>
        <w:t>Mitarbeiter/innen in der Aufbereitung die die erforderliche Ausbildung, Kenntnis und Erfahrung haben.</w:t>
      </w:r>
    </w:p>
    <w:p w14:paraId="215122F4" w14:textId="77777777" w:rsidR="00340F81" w:rsidRDefault="00340F81">
      <w:pPr>
        <w:pStyle w:val="Textkrper"/>
        <w:rPr>
          <w:sz w:val="22"/>
        </w:rPr>
      </w:pPr>
    </w:p>
    <w:p w14:paraId="40B6A28A" w14:textId="77777777" w:rsidR="00340F81" w:rsidRDefault="00340F81">
      <w:pPr>
        <w:pStyle w:val="Textkrper"/>
        <w:spacing w:before="4"/>
        <w:rPr>
          <w:sz w:val="19"/>
        </w:rPr>
      </w:pPr>
    </w:p>
    <w:p w14:paraId="39864EF1" w14:textId="77777777" w:rsidR="00340F81" w:rsidRDefault="00E3171D">
      <w:pPr>
        <w:pStyle w:val="berschrift1"/>
        <w:numPr>
          <w:ilvl w:val="0"/>
          <w:numId w:val="1"/>
        </w:numPr>
        <w:tabs>
          <w:tab w:val="left" w:pos="730"/>
          <w:tab w:val="left" w:pos="731"/>
        </w:tabs>
        <w:ind w:hanging="433"/>
      </w:pPr>
      <w:r>
        <w:t>Durchführung</w:t>
      </w:r>
    </w:p>
    <w:p w14:paraId="708F3FFA" w14:textId="77777777" w:rsidR="00340F81" w:rsidRDefault="00340F81">
      <w:pPr>
        <w:pStyle w:val="Textkrper"/>
        <w:spacing w:before="9"/>
        <w:rPr>
          <w:b/>
          <w:sz w:val="31"/>
        </w:rPr>
      </w:pPr>
    </w:p>
    <w:p w14:paraId="42963E26" w14:textId="77777777" w:rsidR="00340F81" w:rsidRDefault="00E3171D">
      <w:pPr>
        <w:pStyle w:val="berschrift2"/>
      </w:pPr>
      <w:r>
        <w:t>Vorbereiten des Arbeitsplatzes</w:t>
      </w:r>
    </w:p>
    <w:p w14:paraId="18DB1A0A" w14:textId="77777777" w:rsidR="00340F81" w:rsidRDefault="00E3171D">
      <w:pPr>
        <w:pStyle w:val="Textkrper"/>
        <w:spacing w:before="60"/>
        <w:ind w:left="298"/>
      </w:pPr>
      <w:r>
        <w:t>Die Arbeitsfläche wird vorbereitet (SAA 14) und zusätzlich mit min. 2 60x60 großen, sauberen und Saugfähige</w:t>
      </w:r>
      <w:r>
        <w:t>n Patientenunterlagen abgedeckt.</w:t>
      </w:r>
    </w:p>
    <w:p w14:paraId="2882AA21" w14:textId="77777777" w:rsidR="00340F81" w:rsidRDefault="00340F81">
      <w:pPr>
        <w:pStyle w:val="Textkrper"/>
        <w:spacing w:before="11"/>
      </w:pPr>
    </w:p>
    <w:p w14:paraId="37C58C2E" w14:textId="77777777" w:rsidR="00340F81" w:rsidRDefault="00E3171D">
      <w:pPr>
        <w:pStyle w:val="berschrift2"/>
      </w:pPr>
      <w:r>
        <w:t>Vorreinigung mittels Ultraschallbad</w:t>
      </w:r>
    </w:p>
    <w:p w14:paraId="309F9289" w14:textId="77777777" w:rsidR="00340F81" w:rsidRDefault="00E3171D">
      <w:pPr>
        <w:pStyle w:val="Textkrper"/>
        <w:spacing w:before="58"/>
        <w:ind w:left="298"/>
      </w:pPr>
      <w:r>
        <w:t>Die Ultraschallreinigung erfolgt wie in der SAA 04 beschrieben.</w:t>
      </w:r>
    </w:p>
    <w:p w14:paraId="74C552BB" w14:textId="77777777" w:rsidR="00340F81" w:rsidRDefault="00340F81">
      <w:pPr>
        <w:pStyle w:val="Textkrper"/>
        <w:spacing w:before="10"/>
      </w:pPr>
    </w:p>
    <w:p w14:paraId="5103BC47" w14:textId="77777777" w:rsidR="00340F81" w:rsidRDefault="00E3171D">
      <w:pPr>
        <w:pStyle w:val="berschrift2"/>
        <w:spacing w:before="1"/>
        <w:jc w:val="both"/>
      </w:pPr>
      <w:r>
        <w:t>Verpacken von PE – Zangen, Greifern, Pinzetten, Scheren, Zangen und Klammernentferner</w:t>
      </w:r>
    </w:p>
    <w:p w14:paraId="175AE2D0" w14:textId="77777777" w:rsidR="00340F81" w:rsidRDefault="00E3171D">
      <w:pPr>
        <w:pStyle w:val="Textkrper"/>
        <w:spacing w:before="60"/>
        <w:ind w:left="298" w:right="286"/>
        <w:jc w:val="both"/>
      </w:pPr>
      <w:r>
        <w:t>Werden zuvor unter Zunahme eines fl</w:t>
      </w:r>
      <w:r>
        <w:t>usenfreien Baumwolleinmaltupfers mit Alkohol trockengewischt und ohne Zwischenlagerung (kein kurzes Ablegen) in die Sterilisationsbeutel gegeben welche im direkten Anschluss mittels der dazu vorgesehen Klebestreifen versiegelt.</w:t>
      </w:r>
    </w:p>
    <w:p w14:paraId="14BBF213" w14:textId="77777777" w:rsidR="00340F81" w:rsidRDefault="00340F81">
      <w:pPr>
        <w:pStyle w:val="Textkrper"/>
        <w:spacing w:before="9"/>
      </w:pPr>
    </w:p>
    <w:p w14:paraId="09427256" w14:textId="77777777" w:rsidR="00340F81" w:rsidRDefault="00E3171D">
      <w:pPr>
        <w:pStyle w:val="berschrift2"/>
        <w:jc w:val="both"/>
      </w:pPr>
      <w:r>
        <w:t>Verpacken von Polypektomies</w:t>
      </w:r>
      <w:r>
        <w:t>chlingen</w:t>
      </w:r>
    </w:p>
    <w:p w14:paraId="5528FFE5" w14:textId="77777777" w:rsidR="00340F81" w:rsidRDefault="00E3171D">
      <w:pPr>
        <w:pStyle w:val="Textkrper"/>
        <w:spacing w:before="60"/>
        <w:ind w:left="298" w:right="286"/>
        <w:jc w:val="both"/>
      </w:pPr>
      <w:r>
        <w:t>Führungstuben werden vor Repositionierung des Polypektomiedraht mit Silikonspray durchgeblasen. Der Führungstubus und der Polypektomiedraht werden unter Zunahme eines flusenfreien Baumwolleinmaltupfers mit Alkohol gewischt, repositioniert und ohne</w:t>
      </w:r>
      <w:r>
        <w:t xml:space="preserve"> Zwischenlagerung (kein kurzes Ablegen) in die Sterilisationsbeutel gegeben welche im direkten Anschluss mittels der dazu vorgesehen Klebestreifen versiegelt.</w:t>
      </w:r>
    </w:p>
    <w:p w14:paraId="20EDC5F1" w14:textId="77777777" w:rsidR="00340F81" w:rsidRDefault="00340F81">
      <w:pPr>
        <w:pStyle w:val="Textkrper"/>
      </w:pPr>
    </w:p>
    <w:p w14:paraId="5CCF688B" w14:textId="77777777" w:rsidR="00340F81" w:rsidRDefault="00340F81">
      <w:pPr>
        <w:pStyle w:val="Textkrper"/>
      </w:pPr>
    </w:p>
    <w:p w14:paraId="1BEA8CF7" w14:textId="77777777" w:rsidR="00340F81" w:rsidRDefault="00340F81">
      <w:pPr>
        <w:pStyle w:val="Textkrper"/>
      </w:pPr>
    </w:p>
    <w:p w14:paraId="102EABDC" w14:textId="77777777" w:rsidR="00340F81" w:rsidRDefault="00340F81">
      <w:pPr>
        <w:pStyle w:val="Textkrper"/>
      </w:pPr>
    </w:p>
    <w:p w14:paraId="6983DF60" w14:textId="77777777" w:rsidR="00340F81" w:rsidRDefault="00340F81">
      <w:pPr>
        <w:pStyle w:val="Textkrper"/>
      </w:pPr>
    </w:p>
    <w:p w14:paraId="031D5885" w14:textId="77777777" w:rsidR="00340F81" w:rsidRDefault="00340F81">
      <w:pPr>
        <w:pStyle w:val="Textkrper"/>
      </w:pPr>
    </w:p>
    <w:p w14:paraId="17D99659" w14:textId="77777777" w:rsidR="00340F81" w:rsidRDefault="00340F81">
      <w:pPr>
        <w:pStyle w:val="Textkrper"/>
      </w:pPr>
    </w:p>
    <w:p w14:paraId="1169985F" w14:textId="77777777" w:rsidR="00340F81" w:rsidRDefault="00340F81">
      <w:pPr>
        <w:pStyle w:val="Textkrper"/>
      </w:pPr>
    </w:p>
    <w:p w14:paraId="1B073C4C" w14:textId="77777777" w:rsidR="00340F81" w:rsidRDefault="00340F81">
      <w:pPr>
        <w:pStyle w:val="Textkrper"/>
      </w:pPr>
    </w:p>
    <w:p w14:paraId="7FA0E388" w14:textId="77777777" w:rsidR="00340F81" w:rsidRDefault="00340F81">
      <w:pPr>
        <w:pStyle w:val="Textkrper"/>
      </w:pPr>
    </w:p>
    <w:p w14:paraId="5A45D3E3" w14:textId="77777777" w:rsidR="00340F81" w:rsidRDefault="00340F81">
      <w:pPr>
        <w:pStyle w:val="Textkrper"/>
      </w:pPr>
    </w:p>
    <w:p w14:paraId="43DE927E" w14:textId="77777777" w:rsidR="00340F81" w:rsidRDefault="00340F81">
      <w:pPr>
        <w:pStyle w:val="Textkrper"/>
      </w:pPr>
    </w:p>
    <w:p w14:paraId="4CA6BC3F" w14:textId="77777777" w:rsidR="00340F81" w:rsidRDefault="00340F81">
      <w:pPr>
        <w:pStyle w:val="Textkrper"/>
      </w:pPr>
    </w:p>
    <w:p w14:paraId="339099E0" w14:textId="77777777" w:rsidR="00340F81" w:rsidRDefault="00340F81">
      <w:pPr>
        <w:pStyle w:val="Textkrper"/>
      </w:pPr>
    </w:p>
    <w:p w14:paraId="4D6BE9CF" w14:textId="77777777" w:rsidR="00340F81" w:rsidRDefault="00340F81">
      <w:pPr>
        <w:pStyle w:val="Textkrper"/>
      </w:pPr>
    </w:p>
    <w:p w14:paraId="3FF59652" w14:textId="77777777" w:rsidR="00340F81" w:rsidRDefault="00340F81">
      <w:pPr>
        <w:pStyle w:val="Textkrper"/>
      </w:pPr>
    </w:p>
    <w:p w14:paraId="4B94A5C0" w14:textId="77777777" w:rsidR="00340F81" w:rsidRDefault="00340F81">
      <w:pPr>
        <w:pStyle w:val="Textkrper"/>
      </w:pPr>
    </w:p>
    <w:p w14:paraId="20A7880D" w14:textId="77777777" w:rsidR="00340F81" w:rsidRDefault="00340F81">
      <w:pPr>
        <w:pStyle w:val="Textkrper"/>
      </w:pPr>
    </w:p>
    <w:p w14:paraId="561B1145" w14:textId="77777777" w:rsidR="00340F81" w:rsidRDefault="00340F81">
      <w:pPr>
        <w:pStyle w:val="Textkrper"/>
        <w:spacing w:before="5"/>
        <w:rPr>
          <w:sz w:val="16"/>
        </w:rPr>
      </w:pPr>
    </w:p>
    <w:p w14:paraId="677266E5" w14:textId="77777777" w:rsidR="00340F81" w:rsidRDefault="00E3171D">
      <w:pPr>
        <w:spacing w:before="96"/>
        <w:ind w:right="283"/>
        <w:jc w:val="right"/>
        <w:rPr>
          <w:sz w:val="16"/>
        </w:rPr>
      </w:pPr>
      <w:r>
        <w:rPr>
          <w:sz w:val="16"/>
        </w:rPr>
        <w:t>Seite 1 von 1</w:t>
      </w:r>
    </w:p>
    <w:sectPr w:rsidR="00340F81">
      <w:type w:val="continuous"/>
      <w:pgSz w:w="11900" w:h="16840"/>
      <w:pgMar w:top="700" w:right="8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845D9"/>
    <w:multiLevelType w:val="hybridMultilevel"/>
    <w:tmpl w:val="C590C06A"/>
    <w:lvl w:ilvl="0" w:tplc="23886C0A">
      <w:start w:val="1"/>
      <w:numFmt w:val="decimal"/>
      <w:lvlText w:val="%1"/>
      <w:lvlJc w:val="left"/>
      <w:pPr>
        <w:ind w:left="730" w:hanging="43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370AE3DC">
      <w:numFmt w:val="bullet"/>
      <w:lvlText w:val="•"/>
      <w:lvlJc w:val="left"/>
      <w:pPr>
        <w:ind w:left="1660" w:hanging="432"/>
      </w:pPr>
      <w:rPr>
        <w:rFonts w:hint="default"/>
      </w:rPr>
    </w:lvl>
    <w:lvl w:ilvl="2" w:tplc="FDE0162E">
      <w:numFmt w:val="bullet"/>
      <w:lvlText w:val="•"/>
      <w:lvlJc w:val="left"/>
      <w:pPr>
        <w:ind w:left="2580" w:hanging="432"/>
      </w:pPr>
      <w:rPr>
        <w:rFonts w:hint="default"/>
      </w:rPr>
    </w:lvl>
    <w:lvl w:ilvl="3" w:tplc="322C0E00">
      <w:numFmt w:val="bullet"/>
      <w:lvlText w:val="•"/>
      <w:lvlJc w:val="left"/>
      <w:pPr>
        <w:ind w:left="3500" w:hanging="432"/>
      </w:pPr>
      <w:rPr>
        <w:rFonts w:hint="default"/>
      </w:rPr>
    </w:lvl>
    <w:lvl w:ilvl="4" w:tplc="62469FC8">
      <w:numFmt w:val="bullet"/>
      <w:lvlText w:val="•"/>
      <w:lvlJc w:val="left"/>
      <w:pPr>
        <w:ind w:left="4420" w:hanging="432"/>
      </w:pPr>
      <w:rPr>
        <w:rFonts w:hint="default"/>
      </w:rPr>
    </w:lvl>
    <w:lvl w:ilvl="5" w:tplc="35DE02DE">
      <w:numFmt w:val="bullet"/>
      <w:lvlText w:val="•"/>
      <w:lvlJc w:val="left"/>
      <w:pPr>
        <w:ind w:left="5340" w:hanging="432"/>
      </w:pPr>
      <w:rPr>
        <w:rFonts w:hint="default"/>
      </w:rPr>
    </w:lvl>
    <w:lvl w:ilvl="6" w:tplc="37809494">
      <w:numFmt w:val="bullet"/>
      <w:lvlText w:val="•"/>
      <w:lvlJc w:val="left"/>
      <w:pPr>
        <w:ind w:left="6260" w:hanging="432"/>
      </w:pPr>
      <w:rPr>
        <w:rFonts w:hint="default"/>
      </w:rPr>
    </w:lvl>
    <w:lvl w:ilvl="7" w:tplc="6AAA6FAE">
      <w:numFmt w:val="bullet"/>
      <w:lvlText w:val="•"/>
      <w:lvlJc w:val="left"/>
      <w:pPr>
        <w:ind w:left="7180" w:hanging="432"/>
      </w:pPr>
      <w:rPr>
        <w:rFonts w:hint="default"/>
      </w:rPr>
    </w:lvl>
    <w:lvl w:ilvl="8" w:tplc="EAEE2904">
      <w:numFmt w:val="bullet"/>
      <w:lvlText w:val="•"/>
      <w:lvlJc w:val="left"/>
      <w:pPr>
        <w:ind w:left="8100" w:hanging="4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F81"/>
    <w:rsid w:val="00340F81"/>
    <w:rsid w:val="00E3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0305BA8"/>
  <w15:docId w15:val="{A65640FE-3294-413F-9A58-25E6052F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spacing w:before="1"/>
      <w:ind w:left="730" w:hanging="433"/>
      <w:outlineLvl w:val="0"/>
    </w:pPr>
    <w:rPr>
      <w:b/>
      <w:bCs/>
    </w:rPr>
  </w:style>
  <w:style w:type="paragraph" w:styleId="berschrift2">
    <w:name w:val="heading 2"/>
    <w:basedOn w:val="Standard"/>
    <w:uiPriority w:val="9"/>
    <w:unhideWhenUsed/>
    <w:qFormat/>
    <w:pPr>
      <w:ind w:left="298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1"/>
      <w:ind w:left="730" w:hanging="433"/>
    </w:pPr>
  </w:style>
  <w:style w:type="paragraph" w:customStyle="1" w:styleId="TableParagraph">
    <w:name w:val="Table Paragraph"/>
    <w:basedOn w:val="Standard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SAA 18 Sterilgutversrgung.docx</dc:title>
  <dc:creator>user</dc:creator>
  <cp:lastModifiedBy>Gerald Oppeck</cp:lastModifiedBy>
  <cp:revision>2</cp:revision>
  <dcterms:created xsi:type="dcterms:W3CDTF">2020-02-24T10:02:00Z</dcterms:created>
  <dcterms:modified xsi:type="dcterms:W3CDTF">2021-06-04T09:10:00Z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2020-02-24T00:00:00Z</vt:filetime>
  </property>
</Properties>
</file>