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7DB8" w14:textId="77777777" w:rsidR="00114B4C" w:rsidRDefault="001D7CE7">
      <w:pPr>
        <w:pStyle w:val="Textkrper"/>
        <w:ind w:left="90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1915E469">
          <v:group id="_x0000_s1027" style="width:488.2pt;height:84pt;mso-position-horizontal-relative:char;mso-position-vertical-relative:line" coordsize="9764,16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901;top:21;width:6840;height:1637" filled="f" strokeweight="2.16pt">
              <v:textbox inset="0,0,0,0">
                <w:txbxContent>
                  <w:p w14:paraId="6089E3CE" w14:textId="77777777" w:rsidR="00114B4C" w:rsidRDefault="00114B4C">
                    <w:pPr>
                      <w:rPr>
                        <w:rFonts w:ascii="Times New Roman"/>
                        <w:sz w:val="26"/>
                      </w:rPr>
                    </w:pPr>
                  </w:p>
                  <w:p w14:paraId="24F54F5F" w14:textId="77777777" w:rsidR="00114B4C" w:rsidRDefault="00114B4C">
                    <w:pPr>
                      <w:spacing w:before="4"/>
                      <w:rPr>
                        <w:rFonts w:ascii="Times New Roman"/>
                        <w:sz w:val="25"/>
                      </w:rPr>
                    </w:pPr>
                  </w:p>
                  <w:p w14:paraId="71F2BAD0" w14:textId="77777777" w:rsidR="00114B4C" w:rsidRDefault="001D7CE7">
                    <w:pPr>
                      <w:ind w:left="5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SAA 20 – Vorbereitung zum Unterspritzen und Färben</w:t>
                    </w:r>
                  </w:p>
                </w:txbxContent>
              </v:textbox>
            </v:shape>
            <v:shape id="_x0000_s1028" type="#_x0000_t202" style="position:absolute;left:21;top:21;width:2880;height:1637" filled="f" strokeweight="2.16pt">
              <v:textbox inset="0,0,0,0">
                <w:txbxContent>
                  <w:p w14:paraId="76E5D7BF" w14:textId="77777777" w:rsidR="00114B4C" w:rsidRDefault="00114B4C">
                    <w:pPr>
                      <w:rPr>
                        <w:rFonts w:ascii="Times New Roman"/>
                        <w:sz w:val="24"/>
                      </w:rPr>
                    </w:pPr>
                  </w:p>
                  <w:p w14:paraId="6A92B305" w14:textId="77777777" w:rsidR="00114B4C" w:rsidRDefault="00114B4C">
                    <w:pPr>
                      <w:rPr>
                        <w:rFonts w:ascii="Times New Roman"/>
                        <w:sz w:val="29"/>
                      </w:rPr>
                    </w:pPr>
                  </w:p>
                  <w:p w14:paraId="18EAB1BE" w14:textId="3F7F7A52" w:rsidR="00114B4C" w:rsidRDefault="001D7CE7">
                    <w:pPr>
                      <w:ind w:left="47"/>
                      <w:rPr>
                        <w:b/>
                      </w:rPr>
                    </w:pPr>
                    <w:r>
                      <w:rPr>
                        <w:b/>
                      </w:rPr>
                      <w:t>Ordination Dr. NN</w:t>
                    </w:r>
                  </w:p>
                </w:txbxContent>
              </v:textbox>
            </v:shape>
            <w10:anchorlock/>
          </v:group>
        </w:pict>
      </w:r>
    </w:p>
    <w:p w14:paraId="5107C0DB" w14:textId="77777777" w:rsidR="00114B4C" w:rsidRDefault="00114B4C">
      <w:pPr>
        <w:pStyle w:val="Textkrper"/>
        <w:spacing w:before="8"/>
        <w:ind w:left="0"/>
        <w:rPr>
          <w:rFonts w:ascii="Times New Roman"/>
          <w:sz w:val="22"/>
        </w:rPr>
      </w:pPr>
    </w:p>
    <w:tbl>
      <w:tblPr>
        <w:tblStyle w:val="TableNormal"/>
        <w:tblW w:w="0" w:type="auto"/>
        <w:tblInd w:w="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3240"/>
        <w:gridCol w:w="1416"/>
        <w:gridCol w:w="3403"/>
      </w:tblGrid>
      <w:tr w:rsidR="00114B4C" w14:paraId="2250EA4F" w14:textId="77777777">
        <w:trPr>
          <w:trHeight w:val="371"/>
        </w:trPr>
        <w:tc>
          <w:tcPr>
            <w:tcW w:w="1582" w:type="dxa"/>
          </w:tcPr>
          <w:p w14:paraId="317E6734" w14:textId="77777777" w:rsidR="00114B4C" w:rsidRDefault="001D7CE7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Erstellt:</w:t>
            </w:r>
          </w:p>
        </w:tc>
        <w:tc>
          <w:tcPr>
            <w:tcW w:w="3240" w:type="dxa"/>
          </w:tcPr>
          <w:p w14:paraId="594A00F8" w14:textId="1BB707A4" w:rsidR="00114B4C" w:rsidRDefault="001D7CE7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NN</w:t>
            </w:r>
          </w:p>
        </w:tc>
        <w:tc>
          <w:tcPr>
            <w:tcW w:w="1416" w:type="dxa"/>
          </w:tcPr>
          <w:p w14:paraId="07140416" w14:textId="77777777" w:rsidR="00114B4C" w:rsidRDefault="001D7CE7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Unterschrift:</w:t>
            </w:r>
          </w:p>
        </w:tc>
        <w:tc>
          <w:tcPr>
            <w:tcW w:w="3403" w:type="dxa"/>
          </w:tcPr>
          <w:p w14:paraId="25ED793D" w14:textId="77777777" w:rsidR="00114B4C" w:rsidRDefault="00114B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4B4C" w14:paraId="706A9ADB" w14:textId="77777777">
        <w:trPr>
          <w:trHeight w:val="335"/>
        </w:trPr>
        <w:tc>
          <w:tcPr>
            <w:tcW w:w="1582" w:type="dxa"/>
          </w:tcPr>
          <w:p w14:paraId="1539A7AD" w14:textId="77777777" w:rsidR="00114B4C" w:rsidRDefault="001D7CE7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Freigegeben:</w:t>
            </w:r>
          </w:p>
        </w:tc>
        <w:tc>
          <w:tcPr>
            <w:tcW w:w="3240" w:type="dxa"/>
          </w:tcPr>
          <w:p w14:paraId="5FE25C8E" w14:textId="478D132D" w:rsidR="00114B4C" w:rsidRDefault="001D7CE7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Dr. NN</w:t>
            </w:r>
          </w:p>
        </w:tc>
        <w:tc>
          <w:tcPr>
            <w:tcW w:w="1416" w:type="dxa"/>
          </w:tcPr>
          <w:p w14:paraId="0A05A315" w14:textId="77777777" w:rsidR="00114B4C" w:rsidRDefault="001D7CE7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Unterschrift:</w:t>
            </w:r>
          </w:p>
        </w:tc>
        <w:tc>
          <w:tcPr>
            <w:tcW w:w="3403" w:type="dxa"/>
          </w:tcPr>
          <w:p w14:paraId="154E1AE6" w14:textId="77777777" w:rsidR="00114B4C" w:rsidRDefault="00114B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4B4C" w14:paraId="4E87F154" w14:textId="77777777">
        <w:trPr>
          <w:trHeight w:val="340"/>
        </w:trPr>
        <w:tc>
          <w:tcPr>
            <w:tcW w:w="1582" w:type="dxa"/>
          </w:tcPr>
          <w:p w14:paraId="44C3B154" w14:textId="77777777" w:rsidR="00114B4C" w:rsidRDefault="001D7CE7">
            <w:pPr>
              <w:pStyle w:val="TableParagraph"/>
              <w:spacing w:before="78"/>
              <w:rPr>
                <w:sz w:val="16"/>
              </w:rPr>
            </w:pPr>
            <w:r>
              <w:rPr>
                <w:sz w:val="16"/>
              </w:rPr>
              <w:t>Gültig ab:</w:t>
            </w:r>
          </w:p>
        </w:tc>
        <w:tc>
          <w:tcPr>
            <w:tcW w:w="3240" w:type="dxa"/>
          </w:tcPr>
          <w:p w14:paraId="2276C167" w14:textId="77777777" w:rsidR="00114B4C" w:rsidRDefault="001D7CE7">
            <w:pPr>
              <w:pStyle w:val="TableParagraph"/>
              <w:spacing w:before="78"/>
              <w:rPr>
                <w:sz w:val="16"/>
              </w:rPr>
            </w:pPr>
            <w:r>
              <w:rPr>
                <w:sz w:val="16"/>
              </w:rPr>
              <w:t>August 2019</w:t>
            </w:r>
          </w:p>
        </w:tc>
        <w:tc>
          <w:tcPr>
            <w:tcW w:w="1416" w:type="dxa"/>
          </w:tcPr>
          <w:p w14:paraId="40E656BF" w14:textId="77777777" w:rsidR="00114B4C" w:rsidRDefault="00114B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</w:tcPr>
          <w:p w14:paraId="5F9ABE6B" w14:textId="77777777" w:rsidR="00114B4C" w:rsidRDefault="00114B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041F0EA" w14:textId="77777777" w:rsidR="00114B4C" w:rsidRDefault="00114B4C">
      <w:pPr>
        <w:pStyle w:val="Textkrper"/>
        <w:spacing w:before="2"/>
        <w:ind w:left="0"/>
        <w:rPr>
          <w:rFonts w:ascii="Times New Roman"/>
          <w:sz w:val="24"/>
        </w:rPr>
      </w:pPr>
    </w:p>
    <w:p w14:paraId="0CC43334" w14:textId="77777777" w:rsidR="00114B4C" w:rsidRDefault="001D7CE7">
      <w:pPr>
        <w:pStyle w:val="berschrift1"/>
        <w:numPr>
          <w:ilvl w:val="0"/>
          <w:numId w:val="1"/>
        </w:numPr>
        <w:tabs>
          <w:tab w:val="left" w:pos="630"/>
          <w:tab w:val="left" w:pos="631"/>
        </w:tabs>
        <w:spacing w:before="94"/>
        <w:ind w:hanging="433"/>
      </w:pPr>
      <w:r>
        <w:t>Zweck</w:t>
      </w:r>
    </w:p>
    <w:p w14:paraId="5DECFE79" w14:textId="77777777" w:rsidR="00114B4C" w:rsidRDefault="00114B4C">
      <w:pPr>
        <w:pStyle w:val="Textkrper"/>
        <w:spacing w:before="4"/>
        <w:ind w:left="0"/>
        <w:rPr>
          <w:b/>
          <w:sz w:val="21"/>
        </w:rPr>
      </w:pPr>
    </w:p>
    <w:p w14:paraId="67EB44B7" w14:textId="77777777" w:rsidR="00114B4C" w:rsidRDefault="001D7CE7">
      <w:pPr>
        <w:pStyle w:val="Textkrper"/>
        <w:spacing w:line="360" w:lineRule="auto"/>
        <w:ind w:right="417"/>
      </w:pPr>
      <w:r>
        <w:t>Diese Standard – Arbeitsanweisung (SAA) regelt das Vorbereiten von Farbstoffen zum Unterspritzen und Färben</w:t>
      </w:r>
    </w:p>
    <w:p w14:paraId="47B81BBD" w14:textId="77777777" w:rsidR="00114B4C" w:rsidRDefault="00114B4C">
      <w:pPr>
        <w:pStyle w:val="Textkrper"/>
        <w:spacing w:before="5"/>
        <w:ind w:left="0"/>
        <w:rPr>
          <w:sz w:val="31"/>
        </w:rPr>
      </w:pPr>
    </w:p>
    <w:p w14:paraId="7D0CF3C7" w14:textId="77777777" w:rsidR="00114B4C" w:rsidRDefault="001D7CE7">
      <w:pPr>
        <w:pStyle w:val="berschrift1"/>
        <w:numPr>
          <w:ilvl w:val="0"/>
          <w:numId w:val="1"/>
        </w:numPr>
        <w:tabs>
          <w:tab w:val="left" w:pos="630"/>
          <w:tab w:val="left" w:pos="631"/>
        </w:tabs>
        <w:ind w:hanging="433"/>
      </w:pPr>
      <w:r>
        <w:t>Verantwortlichkeiten</w:t>
      </w:r>
    </w:p>
    <w:p w14:paraId="74F11C7D" w14:textId="77777777" w:rsidR="00114B4C" w:rsidRDefault="00114B4C">
      <w:pPr>
        <w:pStyle w:val="Textkrper"/>
        <w:spacing w:before="4"/>
        <w:ind w:left="0"/>
        <w:rPr>
          <w:b/>
          <w:sz w:val="21"/>
        </w:rPr>
      </w:pPr>
    </w:p>
    <w:p w14:paraId="60DEE9B5" w14:textId="77777777" w:rsidR="00114B4C" w:rsidRDefault="001D7CE7">
      <w:pPr>
        <w:pStyle w:val="Textkrper"/>
        <w:spacing w:before="1"/>
      </w:pPr>
      <w:r>
        <w:t>Mitarbeiter/innen in der Aufbereitung die die erforderliche Ausbildung, Kenntnis und Erfahrung haben.</w:t>
      </w:r>
    </w:p>
    <w:p w14:paraId="62B8C029" w14:textId="77777777" w:rsidR="00114B4C" w:rsidRDefault="00114B4C">
      <w:pPr>
        <w:pStyle w:val="Textkrper"/>
        <w:ind w:left="0"/>
        <w:rPr>
          <w:sz w:val="22"/>
        </w:rPr>
      </w:pPr>
    </w:p>
    <w:p w14:paraId="64B0C4F3" w14:textId="77777777" w:rsidR="00114B4C" w:rsidRDefault="00114B4C">
      <w:pPr>
        <w:pStyle w:val="Textkrper"/>
        <w:spacing w:before="4"/>
        <w:ind w:left="0"/>
        <w:rPr>
          <w:sz w:val="19"/>
        </w:rPr>
      </w:pPr>
    </w:p>
    <w:p w14:paraId="6C80993B" w14:textId="77777777" w:rsidR="00114B4C" w:rsidRDefault="001D7CE7">
      <w:pPr>
        <w:pStyle w:val="berschrift1"/>
        <w:numPr>
          <w:ilvl w:val="0"/>
          <w:numId w:val="1"/>
        </w:numPr>
        <w:tabs>
          <w:tab w:val="left" w:pos="630"/>
          <w:tab w:val="left" w:pos="631"/>
        </w:tabs>
        <w:ind w:hanging="433"/>
      </w:pPr>
      <w:r>
        <w:t>Durchführung</w:t>
      </w:r>
    </w:p>
    <w:p w14:paraId="1C836F69" w14:textId="77777777" w:rsidR="00114B4C" w:rsidRDefault="00114B4C">
      <w:pPr>
        <w:pStyle w:val="Textkrper"/>
        <w:spacing w:before="4"/>
        <w:ind w:left="0"/>
        <w:rPr>
          <w:b/>
          <w:sz w:val="21"/>
        </w:rPr>
      </w:pPr>
    </w:p>
    <w:p w14:paraId="7955D619" w14:textId="77777777" w:rsidR="00114B4C" w:rsidRDefault="001D7CE7">
      <w:pPr>
        <w:pStyle w:val="berschrift2"/>
        <w:spacing w:before="1"/>
      </w:pPr>
      <w:r>
        <w:t>Spot – Endoscopic</w:t>
      </w:r>
      <w:r>
        <w:rPr>
          <w:spacing w:val="-13"/>
        </w:rPr>
        <w:t xml:space="preserve"> </w:t>
      </w:r>
      <w:r>
        <w:t>Marker</w:t>
      </w:r>
    </w:p>
    <w:p w14:paraId="6D037DCE" w14:textId="77777777" w:rsidR="00114B4C" w:rsidRDefault="001D7CE7">
      <w:pPr>
        <w:pStyle w:val="Textkrper"/>
        <w:ind w:right="900"/>
      </w:pPr>
      <w:r>
        <w:t>Spot – Endoscopic Marker wird zur Tusche Markierung verwendet und ist ein steriles Einmalprodukt (single-use) wel</w:t>
      </w:r>
      <w:r>
        <w:t>ches nach Untersuchungsende eines Patienten verworfen werden muss.</w:t>
      </w:r>
    </w:p>
    <w:p w14:paraId="39FE4A70" w14:textId="77777777" w:rsidR="00114B4C" w:rsidRDefault="001D7CE7">
      <w:pPr>
        <w:pStyle w:val="Textkrper"/>
        <w:ind w:right="584" w:hanging="1"/>
      </w:pPr>
      <w:r>
        <w:t>Angebrochene oder nicht zur Gänze aufgebrauchte Spritzen dürfen nicht weiterverwendet werden – sie werden verworfen!</w:t>
      </w:r>
    </w:p>
    <w:p w14:paraId="6B7A753D" w14:textId="77777777" w:rsidR="00114B4C" w:rsidRDefault="00114B4C">
      <w:pPr>
        <w:pStyle w:val="Textkrper"/>
        <w:ind w:left="0"/>
      </w:pPr>
    </w:p>
    <w:p w14:paraId="53F09B19" w14:textId="77777777" w:rsidR="00114B4C" w:rsidRDefault="001D7CE7">
      <w:pPr>
        <w:pStyle w:val="berschrift2"/>
        <w:spacing w:before="1"/>
      </w:pPr>
      <w:r>
        <w:t>Indigocarmin</w:t>
      </w:r>
    </w:p>
    <w:p w14:paraId="507AE453" w14:textId="77777777" w:rsidR="00114B4C" w:rsidRDefault="001D7CE7">
      <w:pPr>
        <w:pStyle w:val="Textkrper"/>
        <w:ind w:right="562"/>
      </w:pPr>
      <w:r>
        <w:t>Indigocarmin wird in 10ml Durchstechampullen geliefert wel</w:t>
      </w:r>
      <w:r>
        <w:t>che bei Zimmertemperatur gelagert werden. Zur Verwendung zum Unterspritzen von Polypen bei endoskopischen Untersuchungen muss Indigocarmin vorbereitet werden.</w:t>
      </w:r>
    </w:p>
    <w:p w14:paraId="1596209E" w14:textId="77777777" w:rsidR="00114B4C" w:rsidRDefault="001D7CE7">
      <w:pPr>
        <w:pStyle w:val="Textkrper"/>
        <w:ind w:right="405"/>
      </w:pPr>
      <w:r>
        <w:t>Zu Wochenbeginn wird eine Ampulle Indigocarmin mit einer „Tacky Spike“ Entnahmekanüle angestochen</w:t>
      </w:r>
      <w:r>
        <w:t xml:space="preserve"> und mit dem aktuellen Datum versehen – ab Anstechen erfolgt die Lagerung im Kühlschrank für den aktuellen Arbeitstag – nach Ablauf dieser Zeit wird die Ampulle ungeachtet von deren Verwendung verworfen.</w:t>
      </w:r>
    </w:p>
    <w:p w14:paraId="3B6E066B" w14:textId="77777777" w:rsidR="00114B4C" w:rsidRDefault="00114B4C">
      <w:pPr>
        <w:pStyle w:val="Textkrper"/>
        <w:spacing w:before="11"/>
        <w:ind w:left="0"/>
        <w:rPr>
          <w:sz w:val="19"/>
        </w:rPr>
      </w:pPr>
    </w:p>
    <w:p w14:paraId="06F9197B" w14:textId="77777777" w:rsidR="00114B4C" w:rsidRDefault="001D7CE7">
      <w:pPr>
        <w:pStyle w:val="berschrift2"/>
        <w:spacing w:line="240" w:lineRule="auto"/>
      </w:pPr>
      <w:r>
        <w:t>Indigocarmin gebrauchsfertig verdünnen</w:t>
      </w:r>
    </w:p>
    <w:p w14:paraId="1D5338A9" w14:textId="77777777" w:rsidR="00114B4C" w:rsidRDefault="001D7CE7">
      <w:pPr>
        <w:pStyle w:val="Textkrper"/>
        <w:spacing w:before="1"/>
        <w:ind w:right="372"/>
      </w:pPr>
      <w:r>
        <w:t>2,5 ml Indig</w:t>
      </w:r>
      <w:r>
        <w:t>ocarmin werden mittels 5ml Spritze über die Entnahmekanüle entnommen und in 100 ml NaCl Flasche welche Ebenfalls mit einer Entnahmekanüle versehen wurde gespritzt.</w:t>
      </w:r>
    </w:p>
    <w:p w14:paraId="1CB16EFB" w14:textId="77777777" w:rsidR="00114B4C" w:rsidRDefault="001D7CE7">
      <w:pPr>
        <w:pStyle w:val="Textkrper"/>
        <w:ind w:right="373"/>
      </w:pPr>
      <w:r>
        <w:t>Weiters wird noch 1ml Suprarenin (1mg Epinephrinhydrochlorid) zur entstandenen Lösung hinzug</w:t>
      </w:r>
      <w:r>
        <w:t>efügt. Die 100ml NaCl Flasche wird mit dem Aktuellen Datum versehen und darf nur an diesem Tage verwendet werden.</w:t>
      </w:r>
    </w:p>
    <w:p w14:paraId="5DFB66E1" w14:textId="77777777" w:rsidR="00114B4C" w:rsidRDefault="001D7CE7">
      <w:pPr>
        <w:pStyle w:val="Textkrper"/>
      </w:pPr>
      <w:r>
        <w:t>Die Lagerung findet im Kühlschrank statt.</w:t>
      </w:r>
    </w:p>
    <w:p w14:paraId="10A69B76" w14:textId="77777777" w:rsidR="00114B4C" w:rsidRDefault="001D7CE7">
      <w:pPr>
        <w:pStyle w:val="Textkrper"/>
        <w:ind w:right="761"/>
      </w:pPr>
      <w:r>
        <w:t>Beim Aufziehen in 10ml Luer Lock Spritzen zum unterspritzen von Polypen ist darauf zu achten, dass jede Spritze nur einmal angesetzt werden darf.</w:t>
      </w:r>
    </w:p>
    <w:p w14:paraId="62A6A98C" w14:textId="77777777" w:rsidR="00114B4C" w:rsidRDefault="001D7CE7">
      <w:pPr>
        <w:pStyle w:val="Textkrper"/>
        <w:spacing w:line="228" w:lineRule="exact"/>
      </w:pPr>
      <w:r>
        <w:t>Wird die Entnahmekanüle verunreinigt ist die Gesamte Flasche sofort zu verwerfen!</w:t>
      </w:r>
    </w:p>
    <w:p w14:paraId="2EC35C18" w14:textId="77777777" w:rsidR="00114B4C" w:rsidRDefault="00114B4C">
      <w:pPr>
        <w:pStyle w:val="Textkrper"/>
        <w:ind w:left="0"/>
      </w:pPr>
    </w:p>
    <w:p w14:paraId="17B0BE57" w14:textId="77777777" w:rsidR="00114B4C" w:rsidRDefault="001D7CE7">
      <w:pPr>
        <w:pStyle w:val="Textkrper"/>
        <w:spacing w:before="9"/>
        <w:ind w:left="0"/>
        <w:rPr>
          <w:sz w:val="14"/>
        </w:rPr>
      </w:pPr>
      <w:r>
        <w:pict w14:anchorId="77E8552E">
          <v:shape id="_x0000_s1026" style="position:absolute;margin-left:70.9pt;margin-top:11.05pt;width:2in;height:.1pt;z-index:-251655168;mso-wrap-distance-left:0;mso-wrap-distance-right:0;mso-position-horizontal-relative:page" coordorigin="1418,221" coordsize="2880,0" path="m1418,221r2880,e" filled="f" strokeweight="1.08pt">
            <v:path arrowok="t"/>
            <w10:wrap type="topAndBottom" anchorx="page"/>
          </v:shape>
        </w:pict>
      </w:r>
    </w:p>
    <w:p w14:paraId="7282DD3A" w14:textId="77777777" w:rsidR="00114B4C" w:rsidRDefault="00114B4C">
      <w:pPr>
        <w:rPr>
          <w:sz w:val="14"/>
        </w:rPr>
        <w:sectPr w:rsidR="00114B4C">
          <w:footerReference w:type="default" r:id="rId7"/>
          <w:type w:val="continuous"/>
          <w:pgSz w:w="11900" w:h="16840"/>
          <w:pgMar w:top="700" w:right="740" w:bottom="880" w:left="1220" w:header="720" w:footer="691" w:gutter="0"/>
          <w:pgNumType w:start="1"/>
          <w:cols w:space="720"/>
        </w:sectPr>
      </w:pPr>
    </w:p>
    <w:p w14:paraId="216E012B" w14:textId="77777777" w:rsidR="00114B4C" w:rsidRDefault="001D7CE7">
      <w:pPr>
        <w:pStyle w:val="berschrift2"/>
        <w:spacing w:before="78"/>
      </w:pPr>
      <w:r>
        <w:lastRenderedPageBreak/>
        <w:t>Essig</w:t>
      </w:r>
    </w:p>
    <w:p w14:paraId="142F9548" w14:textId="77777777" w:rsidR="00114B4C" w:rsidRDefault="001D7CE7">
      <w:pPr>
        <w:pStyle w:val="Textkrper"/>
        <w:ind w:right="684"/>
      </w:pPr>
      <w:r>
        <w:t>Essig wird zum Färben von bzw. zur Kontrastierung von Effloreszenzen im Ösophagus verwendet und muss erst gebrauchsfertig zu einer 1,5%igen Lösung angemischt werden.</w:t>
      </w:r>
    </w:p>
    <w:p w14:paraId="007EA9A7" w14:textId="77777777" w:rsidR="00114B4C" w:rsidRDefault="001D7CE7">
      <w:pPr>
        <w:pStyle w:val="Textkrper"/>
        <w:ind w:right="524"/>
      </w:pPr>
      <w:r>
        <w:t>Hierfür wird eine 100ml Flasche H2O mit einer Entnahmekanüle versehen und 30ml entnommen u</w:t>
      </w:r>
      <w:r>
        <w:t>nd verworfen. Dieses Defizit wird mit 30ml 5%igen Haushaltsessig ersetzt. (30ml 5%iger Essig + 70ml H2O</w:t>
      </w:r>
    </w:p>
    <w:p w14:paraId="163F0B84" w14:textId="77777777" w:rsidR="00114B4C" w:rsidRDefault="001D7CE7">
      <w:pPr>
        <w:pStyle w:val="Textkrper"/>
      </w:pPr>
      <w:r>
        <w:t>= 100ml Gebrauchsfertige 1,5%ige Kontrastierungslösung).</w:t>
      </w:r>
    </w:p>
    <w:p w14:paraId="0BA98200" w14:textId="77777777" w:rsidR="00114B4C" w:rsidRDefault="001D7CE7">
      <w:pPr>
        <w:pStyle w:val="Textkrper"/>
        <w:spacing w:before="1"/>
        <w:ind w:right="417"/>
      </w:pPr>
      <w:r>
        <w:t>Die 100ml NaCl Flasche wird mit dem Aktuellen Datum versehen und darf nur in dieser Arbeitswoch</w:t>
      </w:r>
      <w:r>
        <w:t>e verwendet werden.</w:t>
      </w:r>
    </w:p>
    <w:p w14:paraId="00ECFE14" w14:textId="77777777" w:rsidR="00114B4C" w:rsidRDefault="001D7CE7">
      <w:pPr>
        <w:pStyle w:val="Textkrper"/>
        <w:spacing w:line="228" w:lineRule="exact"/>
      </w:pPr>
      <w:r>
        <w:t>Die Lagerung findet im Kühlschrank statt.</w:t>
      </w:r>
    </w:p>
    <w:p w14:paraId="1EDBE659" w14:textId="77777777" w:rsidR="00114B4C" w:rsidRDefault="001D7CE7">
      <w:pPr>
        <w:pStyle w:val="Textkrper"/>
        <w:ind w:right="1228"/>
      </w:pPr>
      <w:r>
        <w:t>Beim Aufziehen von 20ml in eine Luer-Spritze ist darauf zu achten, dass jede Spritze nur einmal angesetzt werden darf.</w:t>
      </w:r>
    </w:p>
    <w:p w14:paraId="7520B271" w14:textId="77777777" w:rsidR="00114B4C" w:rsidRDefault="001D7CE7">
      <w:pPr>
        <w:pStyle w:val="Textkrper"/>
        <w:spacing w:before="1"/>
      </w:pPr>
      <w:r>
        <w:t>Wird die Entnahmekanüle verunreinigt ist die Gesamte Flasche sofort zu verwerfen!</w:t>
      </w:r>
    </w:p>
    <w:p w14:paraId="026A9F67" w14:textId="77777777" w:rsidR="00114B4C" w:rsidRDefault="00114B4C">
      <w:pPr>
        <w:pStyle w:val="Textkrper"/>
        <w:spacing w:before="10"/>
        <w:ind w:left="0"/>
        <w:rPr>
          <w:sz w:val="19"/>
        </w:rPr>
      </w:pPr>
    </w:p>
    <w:p w14:paraId="4F71D9C1" w14:textId="77777777" w:rsidR="00114B4C" w:rsidRDefault="001D7CE7">
      <w:pPr>
        <w:pStyle w:val="berschrift2"/>
        <w:spacing w:line="240" w:lineRule="auto"/>
      </w:pPr>
      <w:r>
        <w:t>Lugolsche Lösung &amp; Methylenblau</w:t>
      </w:r>
    </w:p>
    <w:p w14:paraId="5DBBA8D1" w14:textId="77777777" w:rsidR="00114B4C" w:rsidRDefault="001D7CE7">
      <w:pPr>
        <w:pStyle w:val="Textkrper"/>
        <w:ind w:right="806"/>
      </w:pPr>
      <w:r>
        <w:t>Wird gebrauchsfertig aus der Apotheke geliefert (1%ige Lösung) und bei Raumtemperatur gelagert. Geöffnete Behältnisse werden mit dem aktuelle</w:t>
      </w:r>
      <w:r>
        <w:t>n Datum versehen ab dem Öffnen im Kühlschrank für max. 1 Monat gelagert.</w:t>
      </w:r>
    </w:p>
    <w:p w14:paraId="03483365" w14:textId="77777777" w:rsidR="00114B4C" w:rsidRDefault="001D7CE7">
      <w:pPr>
        <w:pStyle w:val="Textkrper"/>
        <w:spacing w:before="2"/>
        <w:ind w:right="1473"/>
      </w:pPr>
      <w:r>
        <w:t>Die Entnahme erfolgt mit einer 10ml Luer Lock Spritze unter Zuhilfenahme einer 18G Einmal- Injektionskanüle (rosa) – Diese Einmal-Injektionskanüle wird verworfen.</w:t>
      </w:r>
    </w:p>
    <w:p w14:paraId="03E85887" w14:textId="77777777" w:rsidR="00114B4C" w:rsidRDefault="001D7CE7">
      <w:pPr>
        <w:pStyle w:val="Textkrper"/>
        <w:ind w:right="2340"/>
      </w:pPr>
      <w:r>
        <w:t>Injektionskanüle sow</w:t>
      </w:r>
      <w:r>
        <w:t>ie Spritze darf nur einmal zur Entnahme verwendet werden. Wird die Flaschenöffnung verunreinigt ist die Gesamte Flasche sofort zu verwerfen!</w:t>
      </w:r>
    </w:p>
    <w:sectPr w:rsidR="00114B4C">
      <w:pgSz w:w="11900" w:h="16840"/>
      <w:pgMar w:top="1340" w:right="740" w:bottom="880" w:left="1220" w:header="0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2FF44" w14:textId="77777777" w:rsidR="00000000" w:rsidRDefault="001D7CE7">
      <w:r>
        <w:separator/>
      </w:r>
    </w:p>
  </w:endnote>
  <w:endnote w:type="continuationSeparator" w:id="0">
    <w:p w14:paraId="4A3736A2" w14:textId="77777777" w:rsidR="00000000" w:rsidRDefault="001D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E4B2" w14:textId="77777777" w:rsidR="00114B4C" w:rsidRDefault="001D7CE7">
    <w:pPr>
      <w:pStyle w:val="Textkrper"/>
      <w:spacing w:line="14" w:lineRule="auto"/>
      <w:ind w:left="0"/>
    </w:pPr>
    <w:r>
      <w:pict w14:anchorId="5C84750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0.9pt;margin-top:796.45pt;width:48.85pt;height:11pt;z-index:-251658752;mso-position-horizontal-relative:page;mso-position-vertical-relative:page" filled="f" stroked="f">
          <v:textbox inset="0,0,0,0">
            <w:txbxContent>
              <w:p w14:paraId="5AB50D30" w14:textId="77777777" w:rsidR="00114B4C" w:rsidRDefault="001D7CE7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Seit</w:t>
                </w:r>
                <w:r>
                  <w:rPr>
                    <w:sz w:val="16"/>
                  </w:rPr>
                  <w:t xml:space="preserve">e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von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8B222" w14:textId="77777777" w:rsidR="00000000" w:rsidRDefault="001D7CE7">
      <w:r>
        <w:separator/>
      </w:r>
    </w:p>
  </w:footnote>
  <w:footnote w:type="continuationSeparator" w:id="0">
    <w:p w14:paraId="55616056" w14:textId="77777777" w:rsidR="00000000" w:rsidRDefault="001D7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A2EAE"/>
    <w:multiLevelType w:val="hybridMultilevel"/>
    <w:tmpl w:val="EB0E3A7A"/>
    <w:lvl w:ilvl="0" w:tplc="A8065E82">
      <w:start w:val="1"/>
      <w:numFmt w:val="decimal"/>
      <w:lvlText w:val="%1"/>
      <w:lvlJc w:val="left"/>
      <w:pPr>
        <w:ind w:left="630" w:hanging="43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0324F7EA">
      <w:numFmt w:val="bullet"/>
      <w:lvlText w:val="•"/>
      <w:lvlJc w:val="left"/>
      <w:pPr>
        <w:ind w:left="1570" w:hanging="432"/>
      </w:pPr>
      <w:rPr>
        <w:rFonts w:hint="default"/>
      </w:rPr>
    </w:lvl>
    <w:lvl w:ilvl="2" w:tplc="94D06ECE">
      <w:numFmt w:val="bullet"/>
      <w:lvlText w:val="•"/>
      <w:lvlJc w:val="left"/>
      <w:pPr>
        <w:ind w:left="2500" w:hanging="432"/>
      </w:pPr>
      <w:rPr>
        <w:rFonts w:hint="default"/>
      </w:rPr>
    </w:lvl>
    <w:lvl w:ilvl="3" w:tplc="6C94E4C4">
      <w:numFmt w:val="bullet"/>
      <w:lvlText w:val="•"/>
      <w:lvlJc w:val="left"/>
      <w:pPr>
        <w:ind w:left="3430" w:hanging="432"/>
      </w:pPr>
      <w:rPr>
        <w:rFonts w:hint="default"/>
      </w:rPr>
    </w:lvl>
    <w:lvl w:ilvl="4" w:tplc="D86A0856">
      <w:numFmt w:val="bullet"/>
      <w:lvlText w:val="•"/>
      <w:lvlJc w:val="left"/>
      <w:pPr>
        <w:ind w:left="4360" w:hanging="432"/>
      </w:pPr>
      <w:rPr>
        <w:rFonts w:hint="default"/>
      </w:rPr>
    </w:lvl>
    <w:lvl w:ilvl="5" w:tplc="231410E2">
      <w:numFmt w:val="bullet"/>
      <w:lvlText w:val="•"/>
      <w:lvlJc w:val="left"/>
      <w:pPr>
        <w:ind w:left="5290" w:hanging="432"/>
      </w:pPr>
      <w:rPr>
        <w:rFonts w:hint="default"/>
      </w:rPr>
    </w:lvl>
    <w:lvl w:ilvl="6" w:tplc="2C9810E4">
      <w:numFmt w:val="bullet"/>
      <w:lvlText w:val="•"/>
      <w:lvlJc w:val="left"/>
      <w:pPr>
        <w:ind w:left="6220" w:hanging="432"/>
      </w:pPr>
      <w:rPr>
        <w:rFonts w:hint="default"/>
      </w:rPr>
    </w:lvl>
    <w:lvl w:ilvl="7" w:tplc="6B3A2DA0">
      <w:numFmt w:val="bullet"/>
      <w:lvlText w:val="•"/>
      <w:lvlJc w:val="left"/>
      <w:pPr>
        <w:ind w:left="7150" w:hanging="432"/>
      </w:pPr>
      <w:rPr>
        <w:rFonts w:hint="default"/>
      </w:rPr>
    </w:lvl>
    <w:lvl w:ilvl="8" w:tplc="A8903E0A">
      <w:numFmt w:val="bullet"/>
      <w:lvlText w:val="•"/>
      <w:lvlJc w:val="left"/>
      <w:pPr>
        <w:ind w:left="8080" w:hanging="4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B4C"/>
    <w:rsid w:val="00114B4C"/>
    <w:rsid w:val="001D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A65D3A"/>
  <w15:docId w15:val="{7DC7D2F3-FA0B-4937-8829-F9965016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ind w:left="630" w:hanging="433"/>
      <w:outlineLvl w:val="0"/>
    </w:pPr>
    <w:rPr>
      <w:b/>
      <w:bCs/>
    </w:rPr>
  </w:style>
  <w:style w:type="paragraph" w:styleId="berschrift2">
    <w:name w:val="heading 2"/>
    <w:basedOn w:val="Standard"/>
    <w:uiPriority w:val="9"/>
    <w:unhideWhenUsed/>
    <w:qFormat/>
    <w:pPr>
      <w:spacing w:line="229" w:lineRule="exact"/>
      <w:ind w:left="198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98"/>
    </w:pPr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630" w:hanging="433"/>
    </w:pPr>
  </w:style>
  <w:style w:type="paragraph" w:customStyle="1" w:styleId="TableParagraph">
    <w:name w:val="Table Paragraph"/>
    <w:basedOn w:val="Standard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SAA 20 Vorbereitung zum Unterspritzen und Färben.docx)</dc:title>
  <dc:creator>user</dc:creator>
  <cp:lastModifiedBy>Gerald Oppeck</cp:lastModifiedBy>
  <cp:revision>2</cp:revision>
  <dcterms:created xsi:type="dcterms:W3CDTF">2020-02-24T10:07:00Z</dcterms:created>
  <dcterms:modified xsi:type="dcterms:W3CDTF">2021-06-04T09:11:00Z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2020-02-24T00:00:00Z</vt:filetime>
  </property>
</Properties>
</file>